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6EC" w:rsidRDefault="00851872">
      <w:pPr>
        <w:pStyle w:val="2"/>
        <w:widowControl/>
        <w:spacing w:before="450" w:beforeAutospacing="0" w:after="450" w:afterAutospacing="0" w:line="420" w:lineRule="atLeast"/>
        <w:jc w:val="center"/>
        <w:rPr>
          <w:rFonts w:hint="default"/>
          <w:b w:val="0"/>
          <w:color w:val="000000"/>
          <w:sz w:val="27"/>
          <w:szCs w:val="27"/>
        </w:rPr>
      </w:pPr>
      <w:r>
        <w:rPr>
          <w:b w:val="0"/>
          <w:color w:val="000000"/>
          <w:sz w:val="27"/>
          <w:szCs w:val="27"/>
          <w:shd w:val="clear" w:color="auto" w:fill="FFFFFF"/>
        </w:rPr>
        <w:t>2019年马克思主义学院学术型硕士研究生入学复试细则</w:t>
      </w:r>
    </w:p>
    <w:p w:rsidR="00FF66EC" w:rsidRDefault="00851872">
      <w:pPr>
        <w:widowControl/>
        <w:spacing w:line="375" w:lineRule="atLeast"/>
        <w:ind w:firstLine="480"/>
        <w:jc w:val="left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根据中国石油大学（北京）《201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9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年硕士研究生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招生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考试复试及录取工作方案》要求，结合我院实际情况，特制定本细则。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b/>
          <w:color w:val="323232"/>
          <w:kern w:val="0"/>
          <w:sz w:val="24"/>
          <w:shd w:val="clear" w:color="auto" w:fill="FFFFFF"/>
        </w:rPr>
        <w:t>一、复试工作的组织管理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1、学院成立招生工作领导小组，负责制定本院复试细则并组织实施，对学科复试工作组和资格审查工作组进行指导和培训，负责对参加复试而未予录取考生的必要解释和遗留问题的处理。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组  长：方凤玲</w:t>
      </w:r>
    </w:p>
    <w:p w:rsidR="00FF66EC" w:rsidRDefault="00851872">
      <w:pPr>
        <w:widowControl/>
        <w:spacing w:line="375" w:lineRule="atLeast"/>
        <w:ind w:firstLine="480"/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副组长：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刘韵秋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  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庞昌伟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成   员：董贵成  丁英宏  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张明明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  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 xml:space="preserve">吴建伟 李卫红 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王鸣野  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2、学院招生工作领导小组下设复试资格审查工作小组，负责对不同类别考生的有效身份证件、</w:t>
      </w:r>
      <w:r w:rsidR="00F479C8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准考生、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在校历年成绩单、最后毕业证书和学位证书原件及复印件（仅限往届生）或学生证等报名材料及考生资格进行审查，并建立考生个人材料档案。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组  长： 施艳君</w:t>
      </w:r>
    </w:p>
    <w:p w:rsidR="00FF66EC" w:rsidRDefault="00851872">
      <w:pPr>
        <w:widowControl/>
        <w:spacing w:line="375" w:lineRule="atLeast"/>
        <w:ind w:firstLine="480"/>
        <w:rPr>
          <w:i/>
          <w:iCs/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 xml:space="preserve">成  员： 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魏文凯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3、学院招生工作领导小组按学科专业下设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2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个学科复试小组，在研究生招生工作领导小组指导下具体实施面试等考核。各学科专业复试小组及成员名单如下：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   </w:t>
      </w:r>
    </w:p>
    <w:tbl>
      <w:tblPr>
        <w:tblW w:w="13305" w:type="dxa"/>
        <w:shd w:val="clear" w:color="auto" w:fill="EDECE1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100"/>
        <w:gridCol w:w="4003"/>
        <w:gridCol w:w="6217"/>
      </w:tblGrid>
      <w:tr w:rsidR="00FF66EC" w:rsidTr="00FA7497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专</w:t>
            </w:r>
            <w:r>
              <w:rPr>
                <w:color w:val="323232"/>
                <w:kern w:val="0"/>
                <w:sz w:val="24"/>
              </w:rPr>
              <w:t xml:space="preserve"> </w:t>
            </w:r>
            <w:r>
              <w:rPr>
                <w:color w:val="323232"/>
                <w:kern w:val="0"/>
                <w:sz w:val="24"/>
              </w:rPr>
              <w:t>业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组</w:t>
            </w:r>
            <w:r>
              <w:rPr>
                <w:color w:val="323232"/>
                <w:kern w:val="0"/>
                <w:sz w:val="24"/>
              </w:rPr>
              <w:t>  </w:t>
            </w:r>
            <w:r>
              <w:rPr>
                <w:color w:val="323232"/>
                <w:kern w:val="0"/>
                <w:sz w:val="24"/>
              </w:rPr>
              <w:t>长</w:t>
            </w:r>
          </w:p>
        </w:tc>
        <w:tc>
          <w:tcPr>
            <w:tcW w:w="4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成</w:t>
            </w:r>
            <w:r>
              <w:rPr>
                <w:color w:val="323232"/>
                <w:kern w:val="0"/>
                <w:sz w:val="24"/>
              </w:rPr>
              <w:t>  </w:t>
            </w:r>
            <w:r>
              <w:rPr>
                <w:color w:val="323232"/>
                <w:kern w:val="0"/>
                <w:sz w:val="24"/>
              </w:rPr>
              <w:t>员</w:t>
            </w:r>
          </w:p>
        </w:tc>
        <w:tc>
          <w:tcPr>
            <w:tcW w:w="6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秘</w:t>
            </w:r>
            <w:r>
              <w:rPr>
                <w:color w:val="323232"/>
                <w:kern w:val="0"/>
                <w:sz w:val="24"/>
              </w:rPr>
              <w:t>  </w:t>
            </w:r>
            <w:r>
              <w:rPr>
                <w:color w:val="323232"/>
                <w:kern w:val="0"/>
                <w:sz w:val="24"/>
              </w:rPr>
              <w:t>书</w:t>
            </w:r>
          </w:p>
        </w:tc>
      </w:tr>
      <w:tr w:rsidR="00FF66EC" w:rsidTr="00FA7497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  <w:vAlign w:val="center"/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马克思主义理论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董贵成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</w:tcPr>
          <w:p w:rsidR="00FA7497" w:rsidRDefault="00851872">
            <w:pPr>
              <w:widowControl/>
              <w:rPr>
                <w:color w:val="323232"/>
                <w:kern w:val="0"/>
                <w:sz w:val="24"/>
              </w:rPr>
            </w:pPr>
            <w:r>
              <w:rPr>
                <w:color w:val="323232"/>
                <w:kern w:val="0"/>
                <w:sz w:val="24"/>
              </w:rPr>
              <w:t>方凤玲</w:t>
            </w:r>
            <w:r w:rsidR="00FA7497"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323232"/>
                <w:kern w:val="0"/>
                <w:sz w:val="24"/>
              </w:rPr>
              <w:t>庞昌伟</w:t>
            </w:r>
            <w:r w:rsidR="00FA7497">
              <w:rPr>
                <w:rFonts w:hint="eastAsia"/>
                <w:color w:val="323232"/>
                <w:kern w:val="0"/>
                <w:sz w:val="24"/>
              </w:rPr>
              <w:t xml:space="preserve">  </w:t>
            </w:r>
            <w:r>
              <w:rPr>
                <w:color w:val="323232"/>
                <w:kern w:val="0"/>
                <w:sz w:val="24"/>
              </w:rPr>
              <w:t>丁英宏</w:t>
            </w:r>
            <w:r w:rsidR="00FA7497">
              <w:rPr>
                <w:rFonts w:hint="eastAsia"/>
                <w:color w:val="323232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323232"/>
                <w:kern w:val="0"/>
                <w:sz w:val="24"/>
              </w:rPr>
              <w:t>张明明</w:t>
            </w:r>
            <w:r>
              <w:rPr>
                <w:color w:val="323232"/>
                <w:kern w:val="0"/>
                <w:sz w:val="24"/>
              </w:rPr>
              <w:t> </w:t>
            </w:r>
            <w:r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</w:p>
          <w:p w:rsidR="00FF66EC" w:rsidRPr="00FA7497" w:rsidRDefault="00851872">
            <w:pPr>
              <w:widowControl/>
              <w:rPr>
                <w:color w:val="323232"/>
                <w:kern w:val="0"/>
                <w:sz w:val="24"/>
              </w:rPr>
            </w:pPr>
            <w:r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>
              <w:rPr>
                <w:color w:val="323232"/>
                <w:kern w:val="0"/>
                <w:sz w:val="24"/>
              </w:rPr>
              <w:t>李卫红</w:t>
            </w:r>
            <w:r>
              <w:rPr>
                <w:rFonts w:hint="eastAsia"/>
                <w:color w:val="323232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323232"/>
                <w:kern w:val="0"/>
                <w:sz w:val="24"/>
              </w:rPr>
              <w:t>曹培强</w:t>
            </w:r>
            <w:r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 w:rsidR="00FA7497"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 w:rsidR="00FA7497">
              <w:rPr>
                <w:rFonts w:hint="eastAsia"/>
                <w:color w:val="323232"/>
                <w:kern w:val="0"/>
                <w:sz w:val="24"/>
              </w:rPr>
              <w:t>石卫林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rFonts w:hint="eastAsia"/>
                <w:color w:val="323232"/>
                <w:kern w:val="0"/>
                <w:sz w:val="24"/>
              </w:rPr>
              <w:t>余燕飞</w:t>
            </w:r>
          </w:p>
        </w:tc>
      </w:tr>
      <w:tr w:rsidR="00FF66EC" w:rsidTr="00FA7497"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政治学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庞昌伟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方凤玲</w:t>
            </w:r>
            <w:r>
              <w:rPr>
                <w:color w:val="323232"/>
                <w:kern w:val="0"/>
                <w:sz w:val="24"/>
              </w:rPr>
              <w:t>   </w:t>
            </w:r>
            <w:r>
              <w:rPr>
                <w:color w:val="323232"/>
                <w:kern w:val="0"/>
                <w:sz w:val="24"/>
              </w:rPr>
              <w:t>徐</w:t>
            </w:r>
            <w:r>
              <w:rPr>
                <w:color w:val="323232"/>
                <w:kern w:val="0"/>
                <w:sz w:val="24"/>
              </w:rPr>
              <w:t>  </w:t>
            </w:r>
            <w:r>
              <w:rPr>
                <w:color w:val="323232"/>
                <w:kern w:val="0"/>
                <w:sz w:val="24"/>
              </w:rPr>
              <w:t>斌</w:t>
            </w:r>
            <w:r>
              <w:rPr>
                <w:rFonts w:hint="eastAsia"/>
                <w:color w:val="323232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323232"/>
                <w:kern w:val="0"/>
                <w:sz w:val="24"/>
              </w:rPr>
              <w:t>王鸣野</w:t>
            </w:r>
          </w:p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刘</w:t>
            </w:r>
            <w:r>
              <w:rPr>
                <w:color w:val="323232"/>
                <w:kern w:val="0"/>
                <w:sz w:val="24"/>
              </w:rPr>
              <w:t xml:space="preserve">  </w:t>
            </w:r>
            <w:r>
              <w:rPr>
                <w:color w:val="323232"/>
                <w:kern w:val="0"/>
                <w:sz w:val="24"/>
              </w:rPr>
              <w:t>乾</w:t>
            </w:r>
            <w:r>
              <w:rPr>
                <w:color w:val="323232"/>
                <w:kern w:val="0"/>
                <w:sz w:val="24"/>
              </w:rPr>
              <w:t>   </w:t>
            </w:r>
            <w:r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>
              <w:rPr>
                <w:color w:val="323232"/>
                <w:kern w:val="0"/>
                <w:sz w:val="24"/>
              </w:rPr>
              <w:t>张</w:t>
            </w:r>
            <w:r>
              <w:rPr>
                <w:color w:val="323232"/>
                <w:kern w:val="0"/>
                <w:sz w:val="24"/>
              </w:rPr>
              <w:t xml:space="preserve">  </w:t>
            </w:r>
            <w:r>
              <w:rPr>
                <w:color w:val="323232"/>
                <w:kern w:val="0"/>
                <w:sz w:val="24"/>
              </w:rPr>
              <w:t>昊</w:t>
            </w:r>
            <w:r>
              <w:rPr>
                <w:rFonts w:hint="eastAsia"/>
                <w:color w:val="323232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323232"/>
                <w:kern w:val="0"/>
                <w:sz w:val="24"/>
              </w:rPr>
              <w:t>王倍倍</w:t>
            </w:r>
          </w:p>
        </w:tc>
        <w:tc>
          <w:tcPr>
            <w:tcW w:w="62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DECE1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袁</w:t>
            </w:r>
            <w:r>
              <w:rPr>
                <w:color w:val="323232"/>
                <w:kern w:val="0"/>
                <w:sz w:val="24"/>
              </w:rPr>
              <w:t xml:space="preserve"> </w:t>
            </w:r>
            <w:r>
              <w:rPr>
                <w:color w:val="323232"/>
                <w:kern w:val="0"/>
                <w:sz w:val="24"/>
              </w:rPr>
              <w:t>鹏</w:t>
            </w:r>
          </w:p>
        </w:tc>
      </w:tr>
    </w:tbl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b/>
          <w:color w:val="323232"/>
          <w:kern w:val="0"/>
          <w:sz w:val="24"/>
          <w:shd w:val="clear" w:color="auto" w:fill="FFFFFF"/>
        </w:rPr>
        <w:t>二、复试准备工作及复试时间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1、 复试工作人员的遴选和培训：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复试工作人员由本院经验丰富、业务水平高、公道正派的人员组成。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学院定于201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9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年3月2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1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日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8：30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，在学院小会议室召开由招生工作领导小组、招生复试小组、复试资格审查工作小组成员参加的复试工作培训会，对招生复试工作小组成员进行招生工作政策、业务、纪律等方面的培训，明确工作纪律和工作程序、评判规则和评判标准；明确硕士生导师在复试工作中的权利、责任和纪律，规范工作行为，确定复试内容、评分标准、程序和考生出场顺序、提问分工及对考生的考察评价意见等事项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lastRenderedPageBreak/>
        <w:t>2、各学科专业复试分数线、招生人数及复试比例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各学科专业复试分数线：</w:t>
      </w:r>
    </w:p>
    <w:tbl>
      <w:tblPr>
        <w:tblW w:w="86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67"/>
        <w:gridCol w:w="991"/>
        <w:gridCol w:w="2836"/>
        <w:gridCol w:w="2268"/>
      </w:tblGrid>
      <w:tr w:rsidR="00FF66EC">
        <w:trPr>
          <w:trHeight w:val="435"/>
        </w:trPr>
        <w:tc>
          <w:tcPr>
            <w:tcW w:w="2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学科门类</w:t>
            </w:r>
            <w:r>
              <w:rPr>
                <w:color w:val="323232"/>
                <w:kern w:val="0"/>
                <w:sz w:val="24"/>
              </w:rPr>
              <w:t>(</w:t>
            </w:r>
            <w:r>
              <w:rPr>
                <w:color w:val="323232"/>
                <w:kern w:val="0"/>
                <w:sz w:val="24"/>
              </w:rPr>
              <w:t>专业</w:t>
            </w:r>
            <w:r>
              <w:rPr>
                <w:color w:val="323232"/>
                <w:kern w:val="0"/>
                <w:sz w:val="24"/>
              </w:rPr>
              <w:t>)</w:t>
            </w:r>
            <w:r>
              <w:rPr>
                <w:color w:val="323232"/>
                <w:kern w:val="0"/>
                <w:sz w:val="24"/>
              </w:rPr>
              <w:t>名称</w:t>
            </w:r>
          </w:p>
        </w:tc>
        <w:tc>
          <w:tcPr>
            <w:tcW w:w="6095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A</w:t>
            </w:r>
            <w:r>
              <w:rPr>
                <w:color w:val="323232"/>
                <w:kern w:val="0"/>
                <w:sz w:val="24"/>
              </w:rPr>
              <w:t>类考生</w:t>
            </w:r>
          </w:p>
        </w:tc>
      </w:tr>
      <w:tr w:rsidR="00FF66EC">
        <w:trPr>
          <w:trHeight w:val="795"/>
        </w:trPr>
        <w:tc>
          <w:tcPr>
            <w:tcW w:w="2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Default="00FF66EC">
            <w:pPr>
              <w:rPr>
                <w:rFonts w:ascii="宋体"/>
                <w:color w:val="323232"/>
                <w:sz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总分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单科（满分</w:t>
            </w:r>
            <w:r>
              <w:rPr>
                <w:color w:val="323232"/>
                <w:kern w:val="0"/>
                <w:sz w:val="24"/>
              </w:rPr>
              <w:t>=100</w:t>
            </w:r>
            <w:r>
              <w:rPr>
                <w:color w:val="323232"/>
                <w:kern w:val="0"/>
                <w:sz w:val="24"/>
              </w:rPr>
              <w:t>分）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单科（满分</w:t>
            </w:r>
            <w:r>
              <w:rPr>
                <w:color w:val="323232"/>
                <w:kern w:val="0"/>
                <w:sz w:val="24"/>
              </w:rPr>
              <w:t>&gt;100</w:t>
            </w:r>
            <w:r>
              <w:rPr>
                <w:color w:val="323232"/>
                <w:kern w:val="0"/>
                <w:sz w:val="24"/>
              </w:rPr>
              <w:t>分）</w:t>
            </w:r>
          </w:p>
        </w:tc>
      </w:tr>
      <w:tr w:rsidR="00FF66EC">
        <w:trPr>
          <w:trHeight w:val="450"/>
        </w:trPr>
        <w:tc>
          <w:tcPr>
            <w:tcW w:w="2567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政治学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Pr="005F4A11" w:rsidRDefault="00893375">
            <w:pPr>
              <w:widowControl/>
              <w:rPr>
                <w:rFonts w:asciiTheme="minorEastAsia" w:hAnsiTheme="minorEastAsia"/>
                <w:color w:val="323232"/>
                <w:sz w:val="24"/>
              </w:rPr>
            </w:pPr>
            <w:r>
              <w:rPr>
                <w:rFonts w:asciiTheme="minorEastAsia" w:hAnsiTheme="minorEastAsia" w:hint="eastAsia"/>
                <w:color w:val="323232"/>
                <w:kern w:val="0"/>
                <w:sz w:val="24"/>
              </w:rPr>
              <w:t>34</w:t>
            </w:r>
            <w:r w:rsidR="00851872" w:rsidRPr="005F4A11">
              <w:rPr>
                <w:rFonts w:asciiTheme="minorEastAsia" w:hAnsiTheme="minorEastAsia" w:hint="eastAsia"/>
                <w:color w:val="323232"/>
                <w:kern w:val="0"/>
                <w:sz w:val="24"/>
              </w:rPr>
              <w:t>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Pr="005F4A11" w:rsidRDefault="00851872">
            <w:pPr>
              <w:widowControl/>
              <w:rPr>
                <w:rFonts w:asciiTheme="minorEastAsia" w:hAnsiTheme="minorEastAsia"/>
                <w:color w:val="323232"/>
                <w:sz w:val="24"/>
              </w:rPr>
            </w:pPr>
            <w:r w:rsidRPr="005F4A11">
              <w:rPr>
                <w:rFonts w:asciiTheme="minorEastAsia" w:hAnsiTheme="minorEastAsia"/>
                <w:color w:val="323232"/>
                <w:kern w:val="0"/>
                <w:sz w:val="24"/>
              </w:rPr>
              <w:t>4</w:t>
            </w:r>
            <w:r w:rsidRPr="005F4A11">
              <w:rPr>
                <w:rFonts w:asciiTheme="minorEastAsia" w:hAnsiTheme="minorEastAsia" w:hint="eastAsia"/>
                <w:color w:val="323232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Pr="005F4A11" w:rsidRDefault="00851872">
            <w:pPr>
              <w:widowControl/>
              <w:rPr>
                <w:rFonts w:asciiTheme="minorEastAsia" w:hAnsiTheme="minorEastAsia"/>
                <w:color w:val="323232"/>
                <w:sz w:val="24"/>
              </w:rPr>
            </w:pPr>
            <w:r w:rsidRPr="005F4A11">
              <w:rPr>
                <w:rFonts w:asciiTheme="minorEastAsia" w:hAnsiTheme="minorEastAsia" w:hint="eastAsia"/>
                <w:color w:val="323232"/>
                <w:sz w:val="24"/>
              </w:rPr>
              <w:t>1</w:t>
            </w:r>
            <w:r w:rsidR="00893375">
              <w:rPr>
                <w:rFonts w:asciiTheme="minorEastAsia" w:hAnsiTheme="minorEastAsia" w:hint="eastAsia"/>
                <w:color w:val="323232"/>
                <w:sz w:val="24"/>
              </w:rPr>
              <w:t>00</w:t>
            </w:r>
          </w:p>
        </w:tc>
      </w:tr>
      <w:tr w:rsidR="00FF66EC">
        <w:trPr>
          <w:trHeight w:val="450"/>
        </w:trPr>
        <w:tc>
          <w:tcPr>
            <w:tcW w:w="2567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马克思主义理论</w:t>
            </w:r>
          </w:p>
        </w:tc>
        <w:tc>
          <w:tcPr>
            <w:tcW w:w="99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Pr="005F4A11" w:rsidRDefault="00851872">
            <w:pPr>
              <w:widowControl/>
              <w:rPr>
                <w:rFonts w:asciiTheme="minorEastAsia" w:hAnsiTheme="minorEastAsia"/>
                <w:color w:val="323232"/>
                <w:sz w:val="24"/>
              </w:rPr>
            </w:pPr>
            <w:r w:rsidRPr="005F4A11">
              <w:rPr>
                <w:rFonts w:asciiTheme="minorEastAsia" w:hAnsiTheme="minorEastAsia" w:hint="eastAsia"/>
                <w:color w:val="323232"/>
                <w:sz w:val="24"/>
              </w:rPr>
              <w:t>330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Pr="005F4A11" w:rsidRDefault="00851872">
            <w:pPr>
              <w:widowControl/>
              <w:rPr>
                <w:rFonts w:asciiTheme="minorEastAsia" w:hAnsiTheme="minorEastAsia"/>
                <w:color w:val="323232"/>
                <w:sz w:val="24"/>
              </w:rPr>
            </w:pPr>
            <w:r w:rsidRPr="005F4A11">
              <w:rPr>
                <w:rFonts w:asciiTheme="minorEastAsia" w:hAnsiTheme="minorEastAsia" w:hint="eastAsia"/>
                <w:color w:val="323232"/>
                <w:sz w:val="24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6EC" w:rsidRPr="005F4A11" w:rsidRDefault="00851872">
            <w:pPr>
              <w:widowControl/>
              <w:rPr>
                <w:rFonts w:asciiTheme="minorEastAsia" w:hAnsiTheme="minorEastAsia"/>
                <w:color w:val="323232"/>
                <w:sz w:val="24"/>
              </w:rPr>
            </w:pPr>
            <w:r w:rsidRPr="005F4A11">
              <w:rPr>
                <w:rFonts w:asciiTheme="minorEastAsia" w:hAnsiTheme="minorEastAsia" w:hint="eastAsia"/>
                <w:color w:val="323232"/>
                <w:sz w:val="24"/>
              </w:rPr>
              <w:t>100</w:t>
            </w:r>
          </w:p>
        </w:tc>
      </w:tr>
    </w:tbl>
    <w:p w:rsidR="00FF66EC" w:rsidRDefault="00851872">
      <w:pPr>
        <w:widowControl/>
        <w:spacing w:line="375" w:lineRule="atLeast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 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各学科专业计划招生人数：</w:t>
      </w:r>
    </w:p>
    <w:tbl>
      <w:tblPr>
        <w:tblW w:w="133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61"/>
        <w:gridCol w:w="9044"/>
      </w:tblGrid>
      <w:tr w:rsidR="00FF66EC">
        <w:tc>
          <w:tcPr>
            <w:tcW w:w="4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专</w:t>
            </w:r>
            <w:r>
              <w:rPr>
                <w:color w:val="323232"/>
                <w:kern w:val="0"/>
                <w:sz w:val="24"/>
              </w:rPr>
              <w:t xml:space="preserve"> </w:t>
            </w:r>
            <w:r>
              <w:rPr>
                <w:color w:val="323232"/>
                <w:kern w:val="0"/>
                <w:sz w:val="24"/>
              </w:rPr>
              <w:t>业</w:t>
            </w:r>
          </w:p>
        </w:tc>
        <w:tc>
          <w:tcPr>
            <w:tcW w:w="9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人</w:t>
            </w:r>
            <w:r>
              <w:rPr>
                <w:color w:val="323232"/>
                <w:kern w:val="0"/>
                <w:sz w:val="24"/>
              </w:rPr>
              <w:t xml:space="preserve"> </w:t>
            </w:r>
            <w:r>
              <w:rPr>
                <w:color w:val="323232"/>
                <w:kern w:val="0"/>
                <w:sz w:val="24"/>
              </w:rPr>
              <w:t>数</w:t>
            </w:r>
          </w:p>
        </w:tc>
      </w:tr>
      <w:tr w:rsidR="00FF66EC">
        <w:tc>
          <w:tcPr>
            <w:tcW w:w="4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政治学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rFonts w:hint="eastAsia"/>
                <w:color w:val="323232"/>
              </w:rPr>
              <w:t>7</w:t>
            </w:r>
          </w:p>
        </w:tc>
      </w:tr>
      <w:tr w:rsidR="00FF66EC">
        <w:tc>
          <w:tcPr>
            <w:tcW w:w="42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马克思主义理论</w:t>
            </w:r>
          </w:p>
        </w:tc>
        <w:tc>
          <w:tcPr>
            <w:tcW w:w="9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rFonts w:hint="eastAsia"/>
                <w:color w:val="323232"/>
                <w:kern w:val="0"/>
                <w:sz w:val="24"/>
              </w:rPr>
              <w:t>15</w:t>
            </w:r>
          </w:p>
        </w:tc>
      </w:tr>
    </w:tbl>
    <w:p w:rsidR="00FF66EC" w:rsidRDefault="00851872">
      <w:pPr>
        <w:widowControl/>
        <w:spacing w:line="375" w:lineRule="atLeast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     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各学科专业复试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和英语复试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时间及地点：</w:t>
      </w:r>
    </w:p>
    <w:tbl>
      <w:tblPr>
        <w:tblpPr w:leftFromText="180" w:rightFromText="180" w:vertAnchor="text" w:horzAnchor="page" w:tblpX="113" w:tblpY="1297"/>
        <w:tblOverlap w:val="never"/>
        <w:tblW w:w="13305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74"/>
        <w:gridCol w:w="2071"/>
        <w:gridCol w:w="1441"/>
        <w:gridCol w:w="1276"/>
        <w:gridCol w:w="3686"/>
        <w:gridCol w:w="3557"/>
      </w:tblGrid>
      <w:tr w:rsidR="00FF66EC" w:rsidTr="006516AA"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专业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复试时间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复试地点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复试组长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参加人员</w:t>
            </w:r>
          </w:p>
        </w:tc>
        <w:tc>
          <w:tcPr>
            <w:tcW w:w="3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秘书</w:t>
            </w:r>
          </w:p>
        </w:tc>
      </w:tr>
      <w:tr w:rsidR="00FF66EC" w:rsidTr="006516AA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政治学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 w:rsidP="006516AA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201</w:t>
            </w:r>
            <w:r>
              <w:rPr>
                <w:rFonts w:hint="eastAsia"/>
                <w:color w:val="323232"/>
                <w:kern w:val="0"/>
                <w:sz w:val="24"/>
              </w:rPr>
              <w:t>9</w:t>
            </w:r>
            <w:r>
              <w:rPr>
                <w:color w:val="323232"/>
                <w:kern w:val="0"/>
                <w:sz w:val="24"/>
              </w:rPr>
              <w:t>年</w:t>
            </w:r>
            <w:r>
              <w:rPr>
                <w:color w:val="323232"/>
                <w:kern w:val="0"/>
                <w:sz w:val="24"/>
              </w:rPr>
              <w:t>3</w:t>
            </w:r>
            <w:r>
              <w:rPr>
                <w:color w:val="323232"/>
                <w:kern w:val="0"/>
                <w:sz w:val="24"/>
              </w:rPr>
              <w:t>月</w:t>
            </w:r>
            <w:r>
              <w:rPr>
                <w:color w:val="323232"/>
                <w:kern w:val="0"/>
                <w:sz w:val="24"/>
              </w:rPr>
              <w:t>2</w:t>
            </w:r>
            <w:r w:rsidR="006516AA">
              <w:rPr>
                <w:rFonts w:hint="eastAsia"/>
                <w:color w:val="323232"/>
                <w:kern w:val="0"/>
                <w:sz w:val="24"/>
              </w:rPr>
              <w:t>3</w:t>
            </w:r>
            <w:r>
              <w:rPr>
                <w:color w:val="323232"/>
                <w:kern w:val="0"/>
                <w:sz w:val="24"/>
              </w:rPr>
              <w:t>日</w:t>
            </w:r>
            <w:r w:rsidR="00D050A2">
              <w:rPr>
                <w:rFonts w:hint="eastAsia"/>
                <w:color w:val="323232"/>
                <w:kern w:val="0"/>
                <w:sz w:val="24"/>
              </w:rPr>
              <w:t>14</w:t>
            </w:r>
            <w:r w:rsidR="006516AA">
              <w:rPr>
                <w:rFonts w:hint="eastAsia"/>
                <w:color w:val="323232"/>
                <w:kern w:val="0"/>
                <w:sz w:val="24"/>
              </w:rPr>
              <w:t>：</w:t>
            </w:r>
            <w:r w:rsidR="006516AA">
              <w:rPr>
                <w:rFonts w:hint="eastAsia"/>
                <w:color w:val="323232"/>
                <w:kern w:val="0"/>
                <w:sz w:val="24"/>
              </w:rPr>
              <w:t>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主楼</w:t>
            </w:r>
            <w:r>
              <w:rPr>
                <w:color w:val="323232"/>
                <w:kern w:val="0"/>
                <w:sz w:val="24"/>
              </w:rPr>
              <w:t>A</w:t>
            </w:r>
            <w:r>
              <w:rPr>
                <w:color w:val="323232"/>
                <w:kern w:val="0"/>
                <w:sz w:val="24"/>
              </w:rPr>
              <w:t>座</w:t>
            </w:r>
          </w:p>
          <w:p w:rsidR="00FF66EC" w:rsidRDefault="00851872" w:rsidP="001F70FE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10</w:t>
            </w:r>
            <w:r w:rsidR="001F70FE">
              <w:rPr>
                <w:rFonts w:hint="eastAsia"/>
                <w:color w:val="323232"/>
                <w:kern w:val="0"/>
                <w:sz w:val="24"/>
              </w:rPr>
              <w:t>18</w:t>
            </w:r>
            <w:r>
              <w:rPr>
                <w:color w:val="323232"/>
                <w:kern w:val="0"/>
                <w:sz w:val="24"/>
              </w:rPr>
              <w:t>房间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庞昌伟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方凤玲</w:t>
            </w:r>
            <w:r>
              <w:rPr>
                <w:color w:val="323232"/>
                <w:kern w:val="0"/>
                <w:sz w:val="24"/>
              </w:rPr>
              <w:t>   </w:t>
            </w:r>
            <w:r>
              <w:rPr>
                <w:color w:val="323232"/>
                <w:kern w:val="0"/>
                <w:sz w:val="24"/>
              </w:rPr>
              <w:t>徐</w:t>
            </w:r>
            <w:r>
              <w:rPr>
                <w:color w:val="323232"/>
                <w:kern w:val="0"/>
                <w:sz w:val="24"/>
              </w:rPr>
              <w:t>  </w:t>
            </w:r>
            <w:r>
              <w:rPr>
                <w:color w:val="323232"/>
                <w:kern w:val="0"/>
                <w:sz w:val="24"/>
              </w:rPr>
              <w:t>斌</w:t>
            </w:r>
            <w:r>
              <w:rPr>
                <w:rFonts w:hint="eastAsia"/>
                <w:color w:val="323232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323232"/>
                <w:kern w:val="0"/>
                <w:sz w:val="24"/>
              </w:rPr>
              <w:t>王鸣野</w:t>
            </w:r>
          </w:p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刘</w:t>
            </w:r>
            <w:r>
              <w:rPr>
                <w:color w:val="323232"/>
                <w:kern w:val="0"/>
                <w:sz w:val="24"/>
              </w:rPr>
              <w:t xml:space="preserve">  </w:t>
            </w:r>
            <w:r>
              <w:rPr>
                <w:color w:val="323232"/>
                <w:kern w:val="0"/>
                <w:sz w:val="24"/>
              </w:rPr>
              <w:t>乾</w:t>
            </w:r>
            <w:r>
              <w:rPr>
                <w:color w:val="323232"/>
                <w:kern w:val="0"/>
                <w:sz w:val="24"/>
              </w:rPr>
              <w:t>   </w:t>
            </w:r>
            <w:r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>
              <w:rPr>
                <w:color w:val="323232"/>
                <w:kern w:val="0"/>
                <w:sz w:val="24"/>
              </w:rPr>
              <w:t>张</w:t>
            </w:r>
            <w:r>
              <w:rPr>
                <w:color w:val="323232"/>
                <w:kern w:val="0"/>
                <w:sz w:val="24"/>
              </w:rPr>
              <w:t xml:space="preserve">  </w:t>
            </w:r>
            <w:r>
              <w:rPr>
                <w:color w:val="323232"/>
                <w:kern w:val="0"/>
                <w:sz w:val="24"/>
              </w:rPr>
              <w:t>昊</w:t>
            </w:r>
            <w:r>
              <w:rPr>
                <w:rFonts w:hint="eastAsia"/>
                <w:color w:val="323232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323232"/>
                <w:kern w:val="0"/>
                <w:sz w:val="24"/>
              </w:rPr>
              <w:t>王倍倍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袁</w:t>
            </w:r>
            <w:r>
              <w:rPr>
                <w:color w:val="323232"/>
                <w:kern w:val="0"/>
                <w:sz w:val="24"/>
              </w:rPr>
              <w:t xml:space="preserve">  </w:t>
            </w:r>
            <w:r>
              <w:rPr>
                <w:color w:val="323232"/>
                <w:kern w:val="0"/>
                <w:sz w:val="24"/>
              </w:rPr>
              <w:t>鹏</w:t>
            </w:r>
          </w:p>
        </w:tc>
      </w:tr>
      <w:tr w:rsidR="00FF66EC" w:rsidTr="006516AA"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马克思主义理论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201</w:t>
            </w:r>
            <w:r>
              <w:rPr>
                <w:rFonts w:hint="eastAsia"/>
                <w:color w:val="323232"/>
                <w:kern w:val="0"/>
                <w:sz w:val="24"/>
              </w:rPr>
              <w:t>9</w:t>
            </w:r>
            <w:r>
              <w:rPr>
                <w:color w:val="323232"/>
                <w:kern w:val="0"/>
                <w:sz w:val="24"/>
              </w:rPr>
              <w:t>年</w:t>
            </w:r>
            <w:r>
              <w:rPr>
                <w:color w:val="323232"/>
                <w:kern w:val="0"/>
                <w:sz w:val="24"/>
              </w:rPr>
              <w:t>3</w:t>
            </w:r>
            <w:r>
              <w:rPr>
                <w:color w:val="323232"/>
                <w:kern w:val="0"/>
                <w:sz w:val="24"/>
              </w:rPr>
              <w:t>月</w:t>
            </w:r>
            <w:r>
              <w:rPr>
                <w:color w:val="323232"/>
                <w:kern w:val="0"/>
                <w:sz w:val="24"/>
              </w:rPr>
              <w:t>2</w:t>
            </w:r>
            <w:r>
              <w:rPr>
                <w:rFonts w:hint="eastAsia"/>
                <w:color w:val="323232"/>
                <w:kern w:val="0"/>
                <w:sz w:val="24"/>
              </w:rPr>
              <w:t>4</w:t>
            </w:r>
            <w:r>
              <w:rPr>
                <w:color w:val="323232"/>
                <w:kern w:val="0"/>
                <w:sz w:val="24"/>
              </w:rPr>
              <w:t>日</w:t>
            </w:r>
            <w:r>
              <w:rPr>
                <w:rFonts w:hint="eastAsia"/>
                <w:color w:val="323232"/>
                <w:kern w:val="0"/>
                <w:sz w:val="24"/>
              </w:rPr>
              <w:t>13</w:t>
            </w:r>
            <w:r>
              <w:rPr>
                <w:color w:val="323232"/>
                <w:kern w:val="0"/>
                <w:sz w:val="24"/>
              </w:rPr>
              <w:t>:30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主楼</w:t>
            </w:r>
            <w:r>
              <w:rPr>
                <w:color w:val="323232"/>
                <w:kern w:val="0"/>
                <w:sz w:val="24"/>
              </w:rPr>
              <w:t>A</w:t>
            </w:r>
            <w:r>
              <w:rPr>
                <w:color w:val="323232"/>
                <w:kern w:val="0"/>
                <w:sz w:val="24"/>
              </w:rPr>
              <w:t>座</w:t>
            </w:r>
          </w:p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10</w:t>
            </w:r>
            <w:r>
              <w:rPr>
                <w:rFonts w:hint="eastAsia"/>
                <w:color w:val="323232"/>
                <w:kern w:val="0"/>
                <w:sz w:val="24"/>
              </w:rPr>
              <w:t>18</w:t>
            </w:r>
            <w:r>
              <w:rPr>
                <w:color w:val="323232"/>
                <w:kern w:val="0"/>
                <w:sz w:val="24"/>
              </w:rPr>
              <w:t>房间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董贵成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4976" w:rsidRDefault="00851872">
            <w:pPr>
              <w:widowControl/>
              <w:rPr>
                <w:color w:val="323232"/>
                <w:kern w:val="0"/>
                <w:sz w:val="24"/>
              </w:rPr>
            </w:pPr>
            <w:r>
              <w:rPr>
                <w:color w:val="323232"/>
                <w:kern w:val="0"/>
                <w:sz w:val="24"/>
              </w:rPr>
              <w:t>方凤玲</w:t>
            </w:r>
            <w:r w:rsidR="008D4976"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323232"/>
                <w:kern w:val="0"/>
                <w:sz w:val="24"/>
              </w:rPr>
              <w:t>庞昌伟</w:t>
            </w:r>
            <w:r w:rsidR="008D4976"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>
              <w:rPr>
                <w:color w:val="323232"/>
                <w:kern w:val="0"/>
                <w:sz w:val="24"/>
              </w:rPr>
              <w:t>丁英宏</w:t>
            </w:r>
            <w:r w:rsidR="008D4976"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323232"/>
                <w:kern w:val="0"/>
                <w:sz w:val="24"/>
              </w:rPr>
              <w:t>张明明</w:t>
            </w:r>
            <w:r>
              <w:rPr>
                <w:color w:val="323232"/>
                <w:kern w:val="0"/>
                <w:sz w:val="24"/>
              </w:rPr>
              <w:t> </w:t>
            </w:r>
            <w:r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</w:p>
          <w:p w:rsidR="00FF66EC" w:rsidRDefault="00851872">
            <w:pPr>
              <w:widowControl/>
              <w:rPr>
                <w:color w:val="323232"/>
                <w:kern w:val="0"/>
                <w:sz w:val="24"/>
              </w:rPr>
            </w:pPr>
            <w:r>
              <w:rPr>
                <w:color w:val="323232"/>
                <w:kern w:val="0"/>
                <w:sz w:val="24"/>
              </w:rPr>
              <w:t>李卫红</w:t>
            </w:r>
            <w:r w:rsidR="008D4976"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>
              <w:rPr>
                <w:rFonts w:hint="eastAsia"/>
                <w:color w:val="323232"/>
                <w:kern w:val="0"/>
                <w:sz w:val="24"/>
              </w:rPr>
              <w:t>曹培强</w:t>
            </w:r>
            <w:r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 w:rsidR="008D4976">
              <w:rPr>
                <w:rFonts w:hint="eastAsia"/>
                <w:color w:val="323232"/>
                <w:kern w:val="0"/>
                <w:sz w:val="24"/>
              </w:rPr>
              <w:t xml:space="preserve"> </w:t>
            </w:r>
            <w:r w:rsidR="008D4976">
              <w:rPr>
                <w:rFonts w:hint="eastAsia"/>
                <w:color w:val="323232"/>
                <w:kern w:val="0"/>
                <w:sz w:val="24"/>
              </w:rPr>
              <w:t>石卫林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F66EC" w:rsidRDefault="00851872">
            <w:pPr>
              <w:widowControl/>
              <w:rPr>
                <w:color w:val="323232"/>
              </w:rPr>
            </w:pPr>
            <w:r>
              <w:rPr>
                <w:color w:val="323232"/>
                <w:kern w:val="0"/>
                <w:sz w:val="24"/>
              </w:rPr>
              <w:t>余燕飞</w:t>
            </w:r>
          </w:p>
        </w:tc>
      </w:tr>
    </w:tbl>
    <w:p w:rsidR="00FF66EC" w:rsidRDefault="00EC50F6">
      <w:pPr>
        <w:widowControl/>
        <w:spacing w:line="375" w:lineRule="atLeast"/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请参加复试的考生于2019年3月22日下午15：00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—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17:00，到北京市昌平区府学路18号中国石油大学（北京）马克思主义学院（校主楼A907室）报到。</w:t>
      </w:r>
      <w:r w:rsidR="00BF675B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联系人：施老师。2019年3月23日上午体检。</w:t>
      </w:r>
    </w:p>
    <w:p w:rsidR="00FF66EC" w:rsidRDefault="005F3884">
      <w:pPr>
        <w:widowControl/>
        <w:spacing w:line="375" w:lineRule="atLeast"/>
        <w:ind w:left="1200" w:hangingChars="500" w:hanging="1200"/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英语复试：</w:t>
      </w:r>
      <w:r w:rsidR="00851872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复试时间地点同上面专业复试（在专业复试之前，每人5分钟；专业复试，每人20分钟）。</w:t>
      </w:r>
    </w:p>
    <w:p w:rsidR="00FF66EC" w:rsidRDefault="00851872">
      <w:pPr>
        <w:widowControl/>
        <w:spacing w:line="375" w:lineRule="atLeast"/>
        <w:ind w:left="1200" w:hangingChars="500" w:hanging="1200"/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复试比例：各专业复试比例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一般不低于120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%。复试名单</w:t>
      </w:r>
      <w:r w:rsidR="00D9731B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于</w:t>
      </w:r>
      <w:r w:rsidR="00D9731B"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复试前</w:t>
      </w:r>
      <w:r w:rsidR="00D9731B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三天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在</w:t>
      </w:r>
      <w:r w:rsidR="00D9731B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马克思主义学院主页上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公布。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已经与我校签订预录取协议并通过国家录取线和我院复试线的考生</w:t>
      </w:r>
      <w:r w:rsidR="00D82054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按协议执行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。</w:t>
      </w:r>
    </w:p>
    <w:p w:rsidR="00A41A74" w:rsidRPr="00A41A74" w:rsidRDefault="00851872" w:rsidP="00A41A74">
      <w:pPr>
        <w:widowControl/>
        <w:numPr>
          <w:ilvl w:val="0"/>
          <w:numId w:val="1"/>
        </w:numPr>
        <w:spacing w:line="375" w:lineRule="atLeast"/>
        <w:ind w:firstLine="480"/>
        <w:rPr>
          <w:rFonts w:ascii="宋体" w:eastAsia="宋体" w:hAnsi="宋体" w:cs="宋体"/>
          <w:b/>
          <w:color w:val="323232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b/>
          <w:color w:val="323232"/>
          <w:kern w:val="0"/>
          <w:sz w:val="24"/>
          <w:shd w:val="clear" w:color="auto" w:fill="FFFFFF"/>
        </w:rPr>
        <w:t>考生资格审查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请各位考生于复试前登录</w:t>
      </w:r>
      <w:hyperlink r:id="rId6" w:history="1">
        <w:r>
          <w:rPr>
            <w:rStyle w:val="a3"/>
            <w:rFonts w:ascii="宋体" w:eastAsia="宋体" w:hAnsi="宋体" w:cs="宋体"/>
            <w:color w:val="323232"/>
            <w:sz w:val="24"/>
            <w:u w:val="none"/>
            <w:shd w:val="clear" w:color="auto" w:fill="FFFFFF"/>
          </w:rPr>
          <w:t>http://gmis.cup.edu.cn/ksxt/login.aspx</w:t>
        </w:r>
      </w:hyperlink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进行复试确认，选择导师，并下载“现实情况表现表”。</w:t>
      </w:r>
    </w:p>
    <w:p w:rsidR="008268B8" w:rsidRDefault="008268B8">
      <w:pPr>
        <w:widowControl/>
        <w:spacing w:line="375" w:lineRule="atLeast"/>
        <w:ind w:firstLine="480"/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</w:pPr>
      <w:r w:rsidRPr="008268B8">
        <w:rPr>
          <w:rFonts w:ascii="仿宋" w:eastAsia="仿宋" w:hint="eastAsia"/>
          <w:color w:val="333333"/>
          <w:sz w:val="24"/>
          <w:shd w:val="clear" w:color="auto" w:fill="FFFFFF"/>
        </w:rPr>
        <w:t>调剂考生登录“全国硕士生招生调剂服务系统”进行调剂申请，待调剂申请通过后再登http://gmis.cup.edu.cn/ksxt/login.aspx进行复试确认，并下载 “体检表”和“现实情况表现表”。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报到当日进行报考资格与身份认定，同时交纳100元复试费，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体检费84元。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复试期间的食宿费、差旅费、体检费等由考生自行解决。资格审查时考生须按序出示以下材料：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lastRenderedPageBreak/>
        <w:t>①身份证、准考证；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②学历证书、学位证书原件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和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复印件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及学历或学籍在线认证（仅限往届生），留存学历或学籍认证报告。认证不通过不能参加复试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（应届本科毕业生交验学生证，毕业证书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和学位证书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入学时交验）；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③在校历年学习成绩单（非应届生加盖档案所在单位人事部门公章，应届生加盖所在学校教务部门公章）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；</w:t>
      </w:r>
    </w:p>
    <w:p w:rsidR="00FF66EC" w:rsidRDefault="00851872">
      <w:pPr>
        <w:widowControl/>
        <w:spacing w:line="375" w:lineRule="atLeast"/>
        <w:ind w:firstLine="480"/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④“硕士研究生现实表现情况表”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；</w:t>
      </w:r>
    </w:p>
    <w:p w:rsidR="00FF66EC" w:rsidRDefault="00851872">
      <w:pPr>
        <w:widowControl/>
        <w:spacing w:line="375" w:lineRule="atLeast"/>
        <w:ind w:firstLine="480"/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⑤资格审查时每人填写一个信封，用于考生的录取通知书、调档函、入学须知的寄发，通讯地址务必准确清楚（确保录取通知书可以及时收到）。为方便查找，请在信封中下角写上考生联系电话、考生编号、录取专业代码。</w:t>
      </w:r>
    </w:p>
    <w:p w:rsidR="0032245B" w:rsidRPr="0032245B" w:rsidRDefault="0032245B">
      <w:pPr>
        <w:widowControl/>
        <w:spacing w:line="375" w:lineRule="atLeast"/>
        <w:ind w:firstLine="480"/>
        <w:rPr>
          <w:rFonts w:asciiTheme="minorEastAsia" w:hAnsiTheme="minorEastAsia"/>
          <w:color w:val="323232"/>
          <w:sz w:val="24"/>
        </w:rPr>
      </w:pPr>
      <w:r>
        <w:rPr>
          <w:rFonts w:asciiTheme="minorEastAsia" w:hAnsiTheme="minorEastAsia" w:hint="eastAsia"/>
          <w:color w:val="000000"/>
          <w:sz w:val="24"/>
          <w:shd w:val="clear" w:color="auto" w:fill="FFFFFF"/>
        </w:rPr>
        <w:t>⑤</w:t>
      </w:r>
      <w:r w:rsidRPr="0032245B">
        <w:rPr>
          <w:rFonts w:asciiTheme="minorEastAsia" w:hAnsiTheme="minorEastAsia" w:hint="eastAsia"/>
          <w:color w:val="000000"/>
          <w:sz w:val="24"/>
          <w:shd w:val="clear" w:color="auto" w:fill="FFFFFF"/>
        </w:rPr>
        <w:t>与</w:t>
      </w:r>
      <w:r>
        <w:rPr>
          <w:rFonts w:asciiTheme="minorEastAsia" w:hAnsiTheme="minorEastAsia" w:hint="eastAsia"/>
          <w:color w:val="000000"/>
          <w:sz w:val="24"/>
          <w:shd w:val="clear" w:color="auto" w:fill="FFFFFF"/>
        </w:rPr>
        <w:t>马克思主义</w:t>
      </w:r>
      <w:r w:rsidRPr="0032245B">
        <w:rPr>
          <w:rFonts w:asciiTheme="minorEastAsia" w:hAnsiTheme="minorEastAsia" w:hint="eastAsia"/>
          <w:color w:val="000000"/>
          <w:sz w:val="24"/>
          <w:shd w:val="clear" w:color="auto" w:fill="FFFFFF"/>
        </w:rPr>
        <w:t>学院签订了预录取协议的考生必须在</w:t>
      </w:r>
      <w:r w:rsidRPr="0032245B">
        <w:rPr>
          <w:rFonts w:asciiTheme="minorEastAsia" w:hAnsiTheme="minorEastAsia" w:cs="Times New Roman"/>
          <w:color w:val="000000"/>
          <w:sz w:val="24"/>
          <w:shd w:val="clear" w:color="auto" w:fill="FFFFFF"/>
        </w:rPr>
        <w:t>2019</w:t>
      </w:r>
      <w:r w:rsidRPr="0032245B">
        <w:rPr>
          <w:rFonts w:asciiTheme="minorEastAsia" w:hAnsiTheme="minorEastAsia" w:hint="eastAsia"/>
          <w:color w:val="000000"/>
          <w:sz w:val="24"/>
          <w:shd w:val="clear" w:color="auto" w:fill="FFFFFF"/>
        </w:rPr>
        <w:t>年</w:t>
      </w:r>
      <w:r w:rsidRPr="0032245B">
        <w:rPr>
          <w:rFonts w:asciiTheme="minorEastAsia" w:hAnsiTheme="minorEastAsia" w:cs="Times New Roman"/>
          <w:color w:val="000000"/>
          <w:sz w:val="24"/>
          <w:shd w:val="clear" w:color="auto" w:fill="FFFFFF"/>
        </w:rPr>
        <w:t>3</w:t>
      </w:r>
      <w:r w:rsidRPr="0032245B">
        <w:rPr>
          <w:rFonts w:asciiTheme="minorEastAsia" w:hAnsiTheme="minorEastAsia" w:hint="eastAsia"/>
          <w:color w:val="000000"/>
          <w:sz w:val="24"/>
          <w:shd w:val="clear" w:color="auto" w:fill="FFFFFF"/>
        </w:rPr>
        <w:t>月</w:t>
      </w:r>
      <w:r w:rsidRPr="0032245B">
        <w:rPr>
          <w:rFonts w:asciiTheme="minorEastAsia" w:hAnsiTheme="minorEastAsia" w:cs="Times New Roman"/>
          <w:color w:val="000000"/>
          <w:sz w:val="24"/>
          <w:shd w:val="clear" w:color="auto" w:fill="FFFFFF"/>
        </w:rPr>
        <w:t>26</w:t>
      </w:r>
      <w:r w:rsidRPr="0032245B">
        <w:rPr>
          <w:rFonts w:asciiTheme="minorEastAsia" w:hAnsiTheme="minorEastAsia" w:hint="eastAsia"/>
          <w:color w:val="000000"/>
          <w:sz w:val="24"/>
          <w:shd w:val="clear" w:color="auto" w:fill="FFFFFF"/>
        </w:rPr>
        <w:t>日前（以邮戳为准）将资格审核材料以</w:t>
      </w:r>
      <w:r w:rsidRPr="0032245B">
        <w:rPr>
          <w:rFonts w:asciiTheme="minorEastAsia" w:hAnsiTheme="minorEastAsia" w:cs="Times New Roman"/>
          <w:color w:val="000000"/>
          <w:sz w:val="24"/>
          <w:shd w:val="clear" w:color="auto" w:fill="FFFFFF"/>
        </w:rPr>
        <w:t>EMS</w:t>
      </w:r>
      <w:r w:rsidRPr="0032245B">
        <w:rPr>
          <w:rFonts w:asciiTheme="minorEastAsia" w:hAnsiTheme="minorEastAsia" w:hint="eastAsia"/>
          <w:color w:val="000000"/>
          <w:sz w:val="24"/>
          <w:shd w:val="clear" w:color="auto" w:fill="FFFFFF"/>
        </w:rPr>
        <w:t>方式寄送</w:t>
      </w:r>
      <w:r w:rsidR="003A5D25">
        <w:rPr>
          <w:rFonts w:asciiTheme="minorEastAsia" w:hAnsiTheme="minorEastAsia" w:hint="eastAsia"/>
          <w:color w:val="000000"/>
          <w:sz w:val="24"/>
          <w:shd w:val="clear" w:color="auto" w:fill="FFFFFF"/>
        </w:rPr>
        <w:t>马克思主义</w:t>
      </w:r>
      <w:r w:rsidRPr="0032245B">
        <w:rPr>
          <w:rFonts w:asciiTheme="minorEastAsia" w:hAnsiTheme="minorEastAsia" w:hint="eastAsia"/>
          <w:color w:val="000000"/>
          <w:sz w:val="24"/>
          <w:shd w:val="clear" w:color="auto" w:fill="FFFFFF"/>
        </w:rPr>
        <w:t>学院</w:t>
      </w:r>
      <w:r w:rsidR="003A5D25">
        <w:rPr>
          <w:rFonts w:asciiTheme="minorEastAsia" w:hAnsiTheme="minorEastAsia" w:hint="eastAsia"/>
          <w:color w:val="000000"/>
          <w:sz w:val="24"/>
          <w:shd w:val="clear" w:color="auto" w:fill="FFFFFF"/>
        </w:rPr>
        <w:t>A907室</w:t>
      </w:r>
      <w:r w:rsidRPr="0032245B">
        <w:rPr>
          <w:rFonts w:asciiTheme="minorEastAsia" w:hAnsiTheme="minorEastAsia" w:hint="eastAsia"/>
          <w:color w:val="000000"/>
          <w:sz w:val="24"/>
          <w:shd w:val="clear" w:color="auto" w:fill="FFFFFF"/>
        </w:rPr>
        <w:t>（地址：北京市昌平区府学路</w:t>
      </w:r>
      <w:r w:rsidRPr="0032245B">
        <w:rPr>
          <w:rFonts w:asciiTheme="minorEastAsia" w:hAnsiTheme="minorEastAsia" w:cs="Times New Roman"/>
          <w:color w:val="000000"/>
          <w:sz w:val="24"/>
          <w:shd w:val="clear" w:color="auto" w:fill="FFFFFF"/>
        </w:rPr>
        <w:t>18</w:t>
      </w:r>
      <w:r w:rsidRPr="0032245B">
        <w:rPr>
          <w:rFonts w:asciiTheme="minorEastAsia" w:hAnsiTheme="minorEastAsia" w:hint="eastAsia"/>
          <w:color w:val="000000"/>
          <w:sz w:val="24"/>
          <w:shd w:val="clear" w:color="auto" w:fill="FFFFFF"/>
        </w:rPr>
        <w:t>号中国石油大学（北京）</w:t>
      </w:r>
      <w:r w:rsidR="003A5D25">
        <w:rPr>
          <w:rFonts w:asciiTheme="minorEastAsia" w:hAnsiTheme="minorEastAsia" w:hint="eastAsia"/>
          <w:color w:val="000000"/>
          <w:sz w:val="24"/>
          <w:shd w:val="clear" w:color="auto" w:fill="FFFFFF"/>
        </w:rPr>
        <w:t>马克思主义学院施艳君收</w:t>
      </w:r>
      <w:r w:rsidRPr="0032245B">
        <w:rPr>
          <w:rFonts w:asciiTheme="minorEastAsia" w:hAnsiTheme="minorEastAsia" w:hint="eastAsia"/>
          <w:color w:val="000000"/>
          <w:sz w:val="24"/>
          <w:shd w:val="clear" w:color="auto" w:fill="FFFFFF"/>
        </w:rPr>
        <w:t>；联系电话</w:t>
      </w:r>
      <w:r w:rsidRPr="0032245B">
        <w:rPr>
          <w:rFonts w:asciiTheme="minorEastAsia" w:hAnsiTheme="minorEastAsia" w:cs="Times New Roman"/>
          <w:color w:val="000000"/>
          <w:sz w:val="24"/>
          <w:shd w:val="clear" w:color="auto" w:fill="FFFFFF"/>
        </w:rPr>
        <w:t>010-</w:t>
      </w:r>
      <w:r w:rsidR="003A5D25">
        <w:rPr>
          <w:rFonts w:asciiTheme="minorEastAsia" w:hAnsiTheme="minorEastAsia" w:cs="Times New Roman" w:hint="eastAsia"/>
          <w:color w:val="000000"/>
          <w:sz w:val="24"/>
          <w:shd w:val="clear" w:color="auto" w:fill="FFFFFF"/>
        </w:rPr>
        <w:t>80116374</w:t>
      </w:r>
      <w:r w:rsidRPr="0032245B">
        <w:rPr>
          <w:rFonts w:asciiTheme="minorEastAsia" w:hAnsiTheme="minorEastAsia" w:hint="eastAsia"/>
          <w:color w:val="000000"/>
          <w:sz w:val="24"/>
          <w:shd w:val="clear" w:color="auto" w:fill="FFFFFF"/>
        </w:rPr>
        <w:t>）。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b/>
          <w:color w:val="323232"/>
          <w:kern w:val="0"/>
          <w:sz w:val="24"/>
          <w:shd w:val="clear" w:color="auto" w:fill="FFFFFF"/>
        </w:rPr>
        <w:t>四、复试内容及考核方式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我院各专业复试形式为面试，不设笔试。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1、面试内容注重专业素质和能力考核及综合素质考核，各学科设立一定数量的专业面试题库，在面试时由考生随机抽取。每生面试时间一般不少于20分钟。专业面试成绩总分为100分。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2、外语听说能力测试由一位专业或外语教师进行。面试时由考生从预备的试题库中自行抽取题目，并给考生留有一定的时间进行准备。每个考生的测试时间不少于5分钟。外语测试成绩总分为100分。</w:t>
      </w:r>
    </w:p>
    <w:p w:rsidR="00FF66EC" w:rsidRDefault="007B688D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 w:hint="eastAsia"/>
          <w:b/>
          <w:color w:val="323232"/>
          <w:kern w:val="0"/>
          <w:sz w:val="24"/>
          <w:shd w:val="clear" w:color="auto" w:fill="FFFFFF"/>
        </w:rPr>
        <w:t>五</w:t>
      </w:r>
      <w:r w:rsidR="00851872">
        <w:rPr>
          <w:rFonts w:ascii="宋体" w:eastAsia="宋体" w:hAnsi="宋体" w:cs="宋体"/>
          <w:b/>
          <w:color w:val="323232"/>
          <w:kern w:val="0"/>
          <w:sz w:val="24"/>
          <w:shd w:val="clear" w:color="auto" w:fill="FFFFFF"/>
        </w:rPr>
        <w:t>、复试成绩计算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1、总成绩的计算公式：总成绩（百分制并取整）＝初试成绩（折合为百分制）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×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50%+复试成绩（折合为百分制）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×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50%  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2、复试成绩由专业面试（100分）、外语听力及口语水平测试（100分）成绩组成。其中，专业面试占复试成绩的70%；外语听力及口语水平测试占复试成绩的30%。复试成绩折合成百分制，计入总成绩。</w:t>
      </w:r>
    </w:p>
    <w:p w:rsidR="00FF66EC" w:rsidRDefault="007B688D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 w:hint="eastAsia"/>
          <w:b/>
          <w:color w:val="323232"/>
          <w:kern w:val="0"/>
          <w:sz w:val="24"/>
          <w:shd w:val="clear" w:color="auto" w:fill="FFFFFF"/>
        </w:rPr>
        <w:t>六</w:t>
      </w:r>
      <w:r w:rsidR="00851872">
        <w:rPr>
          <w:rFonts w:ascii="宋体" w:eastAsia="宋体" w:hAnsi="宋体" w:cs="宋体"/>
          <w:b/>
          <w:color w:val="323232"/>
          <w:kern w:val="0"/>
          <w:sz w:val="24"/>
          <w:shd w:val="clear" w:color="auto" w:fill="FFFFFF"/>
        </w:rPr>
        <w:t>、复试信息公布方式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实行信息公布制度。复试结束后，将复试结果（包括成绩、排名、预录取学生、不录取学生）报校招办审批后于5日内在学院网上公布。对于不予录取的考生，及时通知考生本人。复试成绩未在网上公示前，任何人不得擅自查阅或对外公布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学院主页：</w:t>
      </w:r>
      <w:hyperlink r:id="rId7" w:history="1">
        <w:r>
          <w:rPr>
            <w:rStyle w:val="a3"/>
            <w:rFonts w:ascii="宋体" w:eastAsia="宋体" w:hAnsi="宋体" w:cs="宋体"/>
            <w:color w:val="323232"/>
            <w:sz w:val="24"/>
            <w:u w:val="none"/>
            <w:shd w:val="clear" w:color="auto" w:fill="FFFFFF"/>
          </w:rPr>
          <w:t>http://www.cup.edu.cn/rwsk/</w:t>
        </w:r>
      </w:hyperlink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。</w:t>
      </w:r>
    </w:p>
    <w:p w:rsidR="00FF66EC" w:rsidRDefault="007B688D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 w:hint="eastAsia"/>
          <w:b/>
          <w:color w:val="323232"/>
          <w:kern w:val="0"/>
          <w:sz w:val="24"/>
          <w:shd w:val="clear" w:color="auto" w:fill="FFFFFF"/>
        </w:rPr>
        <w:t>七</w:t>
      </w:r>
      <w:r w:rsidR="00851872">
        <w:rPr>
          <w:rFonts w:ascii="宋体" w:eastAsia="宋体" w:hAnsi="宋体" w:cs="宋体"/>
          <w:b/>
          <w:color w:val="323232"/>
          <w:kern w:val="0"/>
          <w:sz w:val="24"/>
          <w:shd w:val="clear" w:color="auto" w:fill="FFFFFF"/>
        </w:rPr>
        <w:t>、录取</w:t>
      </w:r>
    </w:p>
    <w:p w:rsidR="00FF66EC" w:rsidRDefault="00851872">
      <w:pPr>
        <w:widowControl/>
        <w:spacing w:line="375" w:lineRule="atLeast"/>
        <w:ind w:firstLine="480"/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1、各专业按考生总成绩择优录取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。</w:t>
      </w:r>
    </w:p>
    <w:p w:rsidR="00B10FD5" w:rsidRDefault="00B10FD5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2、第一批录取第一志愿考生，第二批录取调剂生。</w:t>
      </w:r>
    </w:p>
    <w:p w:rsidR="00FF66EC" w:rsidRPr="00AE605A" w:rsidRDefault="00B10FD5">
      <w:pPr>
        <w:widowControl/>
        <w:spacing w:line="375" w:lineRule="atLeast"/>
        <w:ind w:firstLine="480"/>
        <w:rPr>
          <w:rFonts w:asciiTheme="minorEastAsia" w:hAnsiTheme="minorEastAsia"/>
          <w:color w:val="323232"/>
          <w:sz w:val="24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lastRenderedPageBreak/>
        <w:t>3</w:t>
      </w:r>
      <w:r w:rsidR="00851872"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、</w:t>
      </w:r>
      <w:r w:rsidR="00AE605A" w:rsidRPr="00AE605A">
        <w:rPr>
          <w:rFonts w:asciiTheme="minorEastAsia" w:hAnsiTheme="minorEastAsia" w:hint="eastAsia"/>
          <w:color w:val="000000"/>
          <w:sz w:val="24"/>
          <w:shd w:val="clear" w:color="auto" w:fill="FFFFFF"/>
        </w:rPr>
        <w:t>复试考核成绩不合格（低于</w:t>
      </w:r>
      <w:r w:rsidR="00AE605A" w:rsidRPr="00AE605A">
        <w:rPr>
          <w:rFonts w:asciiTheme="minorEastAsia" w:hAnsiTheme="minorEastAsia" w:cs="Times New Roman"/>
          <w:color w:val="000000"/>
          <w:sz w:val="24"/>
          <w:shd w:val="clear" w:color="auto" w:fill="FFFFFF"/>
        </w:rPr>
        <w:t>60</w:t>
      </w:r>
      <w:r w:rsidR="00AE605A" w:rsidRPr="00AE605A">
        <w:rPr>
          <w:rFonts w:asciiTheme="minorEastAsia" w:hAnsiTheme="minorEastAsia" w:hint="eastAsia"/>
          <w:color w:val="000000"/>
          <w:sz w:val="24"/>
          <w:shd w:val="clear" w:color="auto" w:fill="FFFFFF"/>
        </w:rPr>
        <w:t>分）者，不予录取。</w:t>
      </w:r>
    </w:p>
    <w:p w:rsidR="00FF66EC" w:rsidRDefault="00B10FD5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4</w:t>
      </w:r>
      <w:r w:rsidR="00851872"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、思想政治素质和道德品质考核或体检不合格者，不予录取。</w:t>
      </w:r>
    </w:p>
    <w:p w:rsidR="00FF66EC" w:rsidRDefault="00B10FD5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5</w:t>
      </w:r>
      <w:r w:rsidR="00851872"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、最终录取结果经学校批准后在学院主页（</w:t>
      </w:r>
      <w:hyperlink r:id="rId8" w:history="1">
        <w:r w:rsidR="00851872">
          <w:rPr>
            <w:rStyle w:val="a3"/>
            <w:rFonts w:ascii="宋体" w:eastAsia="宋体" w:hAnsi="宋体" w:cs="宋体"/>
            <w:color w:val="323232"/>
            <w:sz w:val="24"/>
            <w:u w:val="none"/>
            <w:shd w:val="clear" w:color="auto" w:fill="FFFFFF"/>
          </w:rPr>
          <w:t>http://www.cup.edu.cn/rwsk/</w:t>
        </w:r>
      </w:hyperlink>
      <w:r w:rsidR="00851872"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）和学院公告栏内同时公布。</w:t>
      </w:r>
    </w:p>
    <w:p w:rsidR="00FF66EC" w:rsidRDefault="007B688D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 w:hint="eastAsia"/>
          <w:b/>
          <w:color w:val="323232"/>
          <w:kern w:val="0"/>
          <w:sz w:val="24"/>
          <w:shd w:val="clear" w:color="auto" w:fill="FFFFFF"/>
        </w:rPr>
        <w:t>八</w:t>
      </w:r>
      <w:r w:rsidR="00851872">
        <w:rPr>
          <w:rFonts w:ascii="宋体" w:eastAsia="宋体" w:hAnsi="宋体" w:cs="宋体"/>
          <w:b/>
          <w:color w:val="323232"/>
          <w:kern w:val="0"/>
          <w:sz w:val="24"/>
          <w:shd w:val="clear" w:color="auto" w:fill="FFFFFF"/>
        </w:rPr>
        <w:t>、复试的监督和复议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1、学院招生工作领导小组对复试过程的公平、公正和复试结果全面负责。积极配合校纪检监察部门和研究生院对复试现场的巡视和监察。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2、对招生过程考生的申诉和投诉问题，积极配合学校纪检部门和研究生招生工作领导小组进行复议。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考生接待电话和纪检监察部门受理考生投诉的监督举报电话。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北京教育考试院研究生招生办公室招生专用监督电话：82837456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中国石油大学（北京）研究生招生办公室电话：89733075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中国石油大学（北京）监督举报电话：89733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099</w:t>
      </w:r>
    </w:p>
    <w:p w:rsidR="00FF66EC" w:rsidRDefault="00851872">
      <w:pPr>
        <w:widowControl/>
        <w:spacing w:line="375" w:lineRule="atLeast"/>
        <w:ind w:firstLine="480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学院招生办公室电话：80116374</w:t>
      </w:r>
    </w:p>
    <w:p w:rsidR="00FF66EC" w:rsidRDefault="00851872">
      <w:pPr>
        <w:widowControl/>
        <w:spacing w:line="375" w:lineRule="atLeast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 </w:t>
      </w:r>
    </w:p>
    <w:p w:rsidR="00FF66EC" w:rsidRDefault="00851872" w:rsidP="00894999">
      <w:pPr>
        <w:widowControl/>
        <w:spacing w:line="375" w:lineRule="atLeast"/>
        <w:ind w:leftChars="114" w:left="239" w:firstLineChars="2414" w:firstLine="5794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                         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 xml:space="preserve">              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马克思主义学院</w:t>
      </w:r>
    </w:p>
    <w:p w:rsidR="00FF66EC" w:rsidRDefault="00851872" w:rsidP="00894999">
      <w:pPr>
        <w:widowControl/>
        <w:spacing w:line="375" w:lineRule="atLeast"/>
        <w:ind w:leftChars="114" w:left="239" w:firstLineChars="2414" w:firstLine="5794"/>
        <w:rPr>
          <w:color w:val="323232"/>
        </w:rPr>
      </w:pP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                         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 xml:space="preserve">              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201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9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年</w:t>
      </w:r>
      <w:r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3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月</w:t>
      </w:r>
      <w:r w:rsidR="00127BA1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19</w:t>
      </w:r>
      <w:r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日</w:t>
      </w:r>
    </w:p>
    <w:p w:rsidR="00FF66EC" w:rsidRDefault="00851872">
      <w:pPr>
        <w:widowControl/>
        <w:spacing w:after="240" w:line="375" w:lineRule="atLeast"/>
        <w:rPr>
          <w:color w:val="323232"/>
        </w:rPr>
      </w:pPr>
      <w:r>
        <w:rPr>
          <w:rFonts w:ascii="宋体" w:eastAsia="宋体" w:hAnsi="宋体" w:cs="宋体"/>
          <w:b/>
          <w:color w:val="323232"/>
          <w:kern w:val="0"/>
          <w:sz w:val="24"/>
          <w:shd w:val="clear" w:color="auto" w:fill="FFFFFF"/>
        </w:rPr>
        <w:br/>
      </w:r>
      <w:r>
        <w:rPr>
          <w:rFonts w:ascii="宋体" w:eastAsia="宋体" w:hAnsi="宋体" w:cs="宋体"/>
          <w:b/>
          <w:color w:val="323232"/>
          <w:kern w:val="0"/>
          <w:sz w:val="24"/>
          <w:shd w:val="clear" w:color="auto" w:fill="FFFFFF"/>
        </w:rPr>
        <w:br/>
      </w:r>
    </w:p>
    <w:p w:rsidR="00FF66EC" w:rsidRDefault="00FF66EC"/>
    <w:sectPr w:rsidR="00FF66EC" w:rsidSect="00FF6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F955F6"/>
    <w:multiLevelType w:val="singleLevel"/>
    <w:tmpl w:val="D1F955F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DD6DAA"/>
    <w:rsid w:val="00017345"/>
    <w:rsid w:val="00050CE9"/>
    <w:rsid w:val="00086BDF"/>
    <w:rsid w:val="00106C17"/>
    <w:rsid w:val="001101B4"/>
    <w:rsid w:val="00127BA1"/>
    <w:rsid w:val="001A165D"/>
    <w:rsid w:val="001C15F1"/>
    <w:rsid w:val="001F70FE"/>
    <w:rsid w:val="00262E29"/>
    <w:rsid w:val="0028518F"/>
    <w:rsid w:val="002B0EAA"/>
    <w:rsid w:val="002E0D19"/>
    <w:rsid w:val="002E16B9"/>
    <w:rsid w:val="0032245B"/>
    <w:rsid w:val="00365E27"/>
    <w:rsid w:val="003A5D25"/>
    <w:rsid w:val="003B6377"/>
    <w:rsid w:val="003C141C"/>
    <w:rsid w:val="004222BE"/>
    <w:rsid w:val="00426826"/>
    <w:rsid w:val="004F7AC4"/>
    <w:rsid w:val="00506886"/>
    <w:rsid w:val="005B7321"/>
    <w:rsid w:val="005F3884"/>
    <w:rsid w:val="005F4A11"/>
    <w:rsid w:val="00650FC1"/>
    <w:rsid w:val="006516AA"/>
    <w:rsid w:val="006A212A"/>
    <w:rsid w:val="006A47A8"/>
    <w:rsid w:val="006E13F5"/>
    <w:rsid w:val="00701DAB"/>
    <w:rsid w:val="00757A47"/>
    <w:rsid w:val="00792DF3"/>
    <w:rsid w:val="007B5243"/>
    <w:rsid w:val="007B688D"/>
    <w:rsid w:val="007B757D"/>
    <w:rsid w:val="007C43A2"/>
    <w:rsid w:val="008268B8"/>
    <w:rsid w:val="00851872"/>
    <w:rsid w:val="0088243E"/>
    <w:rsid w:val="0088590F"/>
    <w:rsid w:val="00893375"/>
    <w:rsid w:val="00894999"/>
    <w:rsid w:val="008B71F4"/>
    <w:rsid w:val="008D4976"/>
    <w:rsid w:val="008D4A08"/>
    <w:rsid w:val="009B11B7"/>
    <w:rsid w:val="009E5F33"/>
    <w:rsid w:val="00A41A74"/>
    <w:rsid w:val="00A84475"/>
    <w:rsid w:val="00AB5A82"/>
    <w:rsid w:val="00AE605A"/>
    <w:rsid w:val="00B10FD5"/>
    <w:rsid w:val="00B369C6"/>
    <w:rsid w:val="00B74F3D"/>
    <w:rsid w:val="00B84B19"/>
    <w:rsid w:val="00BB59A3"/>
    <w:rsid w:val="00BF675B"/>
    <w:rsid w:val="00C3445B"/>
    <w:rsid w:val="00CA144A"/>
    <w:rsid w:val="00CC3B45"/>
    <w:rsid w:val="00CC4F0D"/>
    <w:rsid w:val="00CC771F"/>
    <w:rsid w:val="00CD665F"/>
    <w:rsid w:val="00D050A2"/>
    <w:rsid w:val="00D2563A"/>
    <w:rsid w:val="00D37784"/>
    <w:rsid w:val="00D82054"/>
    <w:rsid w:val="00D9144C"/>
    <w:rsid w:val="00D9731B"/>
    <w:rsid w:val="00DA3F59"/>
    <w:rsid w:val="00DA7824"/>
    <w:rsid w:val="00DC0478"/>
    <w:rsid w:val="00E0798F"/>
    <w:rsid w:val="00EC50F6"/>
    <w:rsid w:val="00ED7238"/>
    <w:rsid w:val="00EE5B6F"/>
    <w:rsid w:val="00F31EFB"/>
    <w:rsid w:val="00F479C8"/>
    <w:rsid w:val="00F83A9E"/>
    <w:rsid w:val="00F933FE"/>
    <w:rsid w:val="00FA7497"/>
    <w:rsid w:val="00FC6344"/>
    <w:rsid w:val="00FF66EC"/>
    <w:rsid w:val="03BA1CEF"/>
    <w:rsid w:val="13EE608F"/>
    <w:rsid w:val="445421D0"/>
    <w:rsid w:val="4DEC6381"/>
    <w:rsid w:val="4F3C1945"/>
    <w:rsid w:val="69716E73"/>
    <w:rsid w:val="698601F6"/>
    <w:rsid w:val="6CDD6DAA"/>
    <w:rsid w:val="6DCE31C0"/>
    <w:rsid w:val="6F5C6675"/>
    <w:rsid w:val="73E416C0"/>
    <w:rsid w:val="7AF4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6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FF66E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F66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p.edu.cn/rws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up.edu.cn/rw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mis.cup.edu.cn/ksxt/login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484</Words>
  <Characters>2762</Characters>
  <Application>Microsoft Office Word</Application>
  <DocSecurity>0</DocSecurity>
  <Lines>23</Lines>
  <Paragraphs>6</Paragraphs>
  <ScaleCrop>false</ScaleCrop>
  <Company>微软中国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庞伟昌</dc:creator>
  <cp:lastModifiedBy>微软用户</cp:lastModifiedBy>
  <cp:revision>282</cp:revision>
  <dcterms:created xsi:type="dcterms:W3CDTF">2019-03-18T08:48:00Z</dcterms:created>
  <dcterms:modified xsi:type="dcterms:W3CDTF">2019-03-19T08:34:00Z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