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  <w:lang w:val="en-US" w:eastAsia="zh-Hans"/>
        </w:rPr>
        <w:t>中油大厦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  <w:t>报告厅及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  <w:lang w:val="en-US" w:eastAsia="zh-Hans"/>
        </w:rPr>
        <w:t>东校园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  <w:t>音乐厅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  <w:lang w:val="en-US" w:eastAsia="zh-Hans"/>
        </w:rPr>
        <w:t>租借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  <w:t>管理办法</w:t>
      </w:r>
      <w:bookmarkEnd w:id="0"/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center"/>
        <w:rPr>
          <w:rFonts w:ascii="仿宋_GB2312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240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为了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进一步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规范报告厅及音乐厅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租借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，加强管理，提升服务质量，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充分使用中油大厦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报告厅及音乐厅资源，制定本办法。</w:t>
      </w:r>
    </w:p>
    <w:p>
      <w:pPr>
        <w:pStyle w:val="2"/>
        <w:widowControl/>
        <w:shd w:val="clear" w:color="auto" w:fill="FFFFFF"/>
        <w:spacing w:beforeAutospacing="0" w:afterAutospacing="0" w:line="240" w:lineRule="atLeast"/>
        <w:ind w:firstLine="562" w:firstLineChars="200"/>
        <w:jc w:val="both"/>
        <w:rPr>
          <w:rFonts w:hint="eastAsia" w:ascii="仿宋" w:hAnsi="仿宋" w:eastAsia="仿宋" w:cs="仿宋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color="auto" w:fill="FFFFFF"/>
        </w:rPr>
        <w:t>一、总则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1、本办法适用于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租借使用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报告厅及音乐厅的所有活动，包括学术讲座、节目演出等。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租借使用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报告厅及音乐厅应遵循合法、公正、公开、透明的原则，不得违法违规操作。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租借使用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报告厅及音乐厅应依据《中华人民共和国文化产业促进法》、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《报告厅管理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val="en-US" w:eastAsia="zh-Hans"/>
        </w:rPr>
        <w:t>规定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》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《音乐厅管理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val="en-US" w:eastAsia="zh-Hans"/>
        </w:rPr>
        <w:t>规定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》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等有关法律法规进行。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二、申请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Hans"/>
        </w:rPr>
        <w:t>流程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、申请人应提前7天提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交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场地使用申请表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eastAsia="zh-Hans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，使用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单位须至少提前5个工作日与后勤管理处物业管理服务中心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</w:rPr>
        <w:t>（89731916）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提交场地使用预约，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校外申请单位需签署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eastAsia="zh-Hans"/>
        </w:rPr>
        <w:t>《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校外单位租借活动场地免责协议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》，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由本部门领导签字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盖单位公章，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并报保卫处审批备案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。按照申请单位先后顺序安排场地使用，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</w:rPr>
        <w:t>校级会议活动优先使用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，如遇时间冲突让位校级会议活动。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、后勤管理处物业管理服务中心接到申请后，应及时组织相关部门审核申请，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通过申请后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Hans"/>
        </w:rPr>
        <w:t>由场地负责人带领申请人员去财务处办理缴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费手续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或按照申请表内要求对公转账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上交申请表后，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如临时取消使用场地，需提前至少3个工作日提前电话告知场地负责人（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89731916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），逾期仅支持退还场地费用的50%。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三、收费标准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根据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Hans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关于进一步规范学校文体类设施管理和调整收费标准的通知</w:t>
      </w:r>
      <w:r>
        <w:rPr>
          <w:rFonts w:hint="default" w:ascii="仿宋" w:hAnsi="仿宋" w:eastAsia="仿宋" w:cs="仿宋"/>
          <w:color w:val="auto"/>
          <w:sz w:val="28"/>
          <w:szCs w:val="28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制定的收费标准执行，收费标准如下：</w:t>
      </w:r>
    </w:p>
    <w:tbl>
      <w:tblPr>
        <w:tblStyle w:val="4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2126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地点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人员类别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金额</w:t>
            </w:r>
          </w:p>
        </w:tc>
        <w:tc>
          <w:tcPr>
            <w:tcW w:w="2941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备注</w:t>
            </w:r>
          </w:p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彩排按照此项收费）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南校园中油大厦三层报告厅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校内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1200元/单元</w:t>
            </w:r>
          </w:p>
        </w:tc>
        <w:tc>
          <w:tcPr>
            <w:tcW w:w="2941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超时300元/小时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校外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2000元/单元</w:t>
            </w:r>
          </w:p>
        </w:tc>
        <w:tc>
          <w:tcPr>
            <w:tcW w:w="2941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超时500元/小时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2A2F3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东校园音乐厅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校内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2000元/单元</w:t>
            </w:r>
          </w:p>
        </w:tc>
        <w:tc>
          <w:tcPr>
            <w:tcW w:w="2941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超时500元/小时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校外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3200元/单元</w:t>
            </w:r>
          </w:p>
        </w:tc>
        <w:tc>
          <w:tcPr>
            <w:tcW w:w="2941" w:type="dxa"/>
            <w:vAlign w:val="center"/>
          </w:tcPr>
          <w:p>
            <w:pPr>
              <w:pStyle w:val="2"/>
              <w:widowControl/>
              <w:spacing w:beforeAutospacing="0" w:afterAutospacing="0"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超时800元/小时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2A2F35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说明：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2A2F35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（1）以一个单元为计算周期（一个单元四个小时），不足一个计费周期的按超时标准收费，不足1小时按1小时计算。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（2）如有特殊灯光、会议服务等场地需求按市场价进行另外收费。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）如活动有提前彩排需求，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需在申请表内备注彩排时间，彩排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按照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小时收费。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24" w:lineRule="atLeast"/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收费范围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24" w:lineRule="atLeast"/>
        <w:ind w:left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（一）校内：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24" w:lineRule="atLeast"/>
        <w:ind w:left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校长办公室牵头组织的校级活动暂不收费。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leftChars="200"/>
        <w:jc w:val="both"/>
        <w:rPr>
          <w:rFonts w:hint="default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2、各院系党政机关部门牵头举办的座谈会按照校内收费标准收取。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left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3、各院系迎新、新年晚会按照校内收费标准收取。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left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4、教职工个人通过校内系统申请，审查举办活动内容，若使用主体为校外单位或人员，按照校外标准收费。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leftChars="200"/>
        <w:jc w:val="both"/>
        <w:rPr>
          <w:rFonts w:hint="default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（二）校外群体组织及个人按照校外收费标准执行。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2" w:firstLineChars="20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Hans"/>
        </w:rPr>
        <w:t>租借要求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租借单位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应在规定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提前3个工作日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交纳全部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费用，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否则物业管理服务中心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有权取消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租借申请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租借单位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应在规定时间内结束活动，如需延长使用时间，应提前申请并获得后勤管理处物业管理服务中心的同意，且应按规定加收相应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租借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费用。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租借单位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应按照报告厅及音乐厅的相关管理规定进行场地使用、作品使用的审查，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遵守国家法律法规的各项规定，不得举办任何违法活动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/>
          <w:sz w:val="28"/>
          <w:szCs w:val="28"/>
        </w:rPr>
        <w:t>对于未经报备预约举办的各类活动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或活动内容与申请不相符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或有不符合场地管理规定的行为等，后勤管理处物业管理服务中心管理人员有权中止其活动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对拒不服从管理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情节恶劣的人员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按学校相关管理规定上报学校给予处理。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租借单位在使用时间内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应按规定维护和使用报告厅及音乐厅设施设备，按规定布置场地，不得损坏报告厅及音乐厅装修和设施设备，如需加装灯光音响设备等，应获得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场地负责人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的同意，并按照安全规定进行安装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如有损坏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应承担相应赔偿责任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租借单位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应严格遵守现场安全管理规定，保障场地安全，严禁使用易燃、易爆物品等危险物品，如发生事故，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Hans"/>
        </w:rPr>
        <w:t>租借单位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应负责处理事故，赔偿损失，并承担相应法律责任。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活动期间，主办单位需配合场地监管人员的工作，负责使用场地的环境卫生，结束后做到清场不遗留。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、附则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1、如遇特殊原因活动无法进行，双方沟通协商解决。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560" w:firstLineChars="200"/>
        <w:jc w:val="both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2、未尽事宜由后勤管理处根据实际情况报请主管领导同意后执行。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B9DBF"/>
    <w:multiLevelType w:val="singleLevel"/>
    <w:tmpl w:val="D67B9D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40F337"/>
    <w:multiLevelType w:val="singleLevel"/>
    <w:tmpl w:val="DA40F3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MWZmODAxNTU5NjNkMTU2MzcwNTNhZjU2MGYyMDYifQ=="/>
  </w:docVars>
  <w:rsids>
    <w:rsidRoot w:val="00044544"/>
    <w:rsid w:val="00044544"/>
    <w:rsid w:val="003A00B0"/>
    <w:rsid w:val="00852DAB"/>
    <w:rsid w:val="00A7260E"/>
    <w:rsid w:val="00AA7635"/>
    <w:rsid w:val="00C9383F"/>
    <w:rsid w:val="0F256BD1"/>
    <w:rsid w:val="14413BAA"/>
    <w:rsid w:val="16012ED4"/>
    <w:rsid w:val="1B641385"/>
    <w:rsid w:val="1EFE52D1"/>
    <w:rsid w:val="25D122A5"/>
    <w:rsid w:val="2BC56E89"/>
    <w:rsid w:val="2BFF0507"/>
    <w:rsid w:val="30D173D2"/>
    <w:rsid w:val="33D07732"/>
    <w:rsid w:val="37A9A2E7"/>
    <w:rsid w:val="38056239"/>
    <w:rsid w:val="3BFD218F"/>
    <w:rsid w:val="3DFCF57E"/>
    <w:rsid w:val="3F0E1819"/>
    <w:rsid w:val="3FFF9B9C"/>
    <w:rsid w:val="43082E88"/>
    <w:rsid w:val="44FB7495"/>
    <w:rsid w:val="4A087393"/>
    <w:rsid w:val="4DAB7DD7"/>
    <w:rsid w:val="4FFB00FD"/>
    <w:rsid w:val="559B0A57"/>
    <w:rsid w:val="5DCB6C0E"/>
    <w:rsid w:val="63E908E3"/>
    <w:rsid w:val="673F89BB"/>
    <w:rsid w:val="69064457"/>
    <w:rsid w:val="69F38AAD"/>
    <w:rsid w:val="6E3124F8"/>
    <w:rsid w:val="6E8F50E5"/>
    <w:rsid w:val="70F7B7B7"/>
    <w:rsid w:val="75ABBBE7"/>
    <w:rsid w:val="76F302D1"/>
    <w:rsid w:val="779FE9C7"/>
    <w:rsid w:val="78D67FFB"/>
    <w:rsid w:val="7A632782"/>
    <w:rsid w:val="7B7F575A"/>
    <w:rsid w:val="7DFD918E"/>
    <w:rsid w:val="7EDF46ED"/>
    <w:rsid w:val="7F6DEB5D"/>
    <w:rsid w:val="7F7DB24E"/>
    <w:rsid w:val="7FBF9663"/>
    <w:rsid w:val="7FC33B26"/>
    <w:rsid w:val="7FEF2BFF"/>
    <w:rsid w:val="7FF691D6"/>
    <w:rsid w:val="82E52511"/>
    <w:rsid w:val="B71F4120"/>
    <w:rsid w:val="BA6C5876"/>
    <w:rsid w:val="BF5CF486"/>
    <w:rsid w:val="BFD575F6"/>
    <w:rsid w:val="CAE373FC"/>
    <w:rsid w:val="E37BDABD"/>
    <w:rsid w:val="EDFFD839"/>
    <w:rsid w:val="F3FBA1E0"/>
    <w:rsid w:val="F3FF8D7B"/>
    <w:rsid w:val="F9FB4194"/>
    <w:rsid w:val="FCE0F5EC"/>
    <w:rsid w:val="FF7D24D0"/>
    <w:rsid w:val="FF9985E6"/>
    <w:rsid w:val="FFBD8DDD"/>
    <w:rsid w:val="FFFDA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1329</Characters>
  <Lines>11</Lines>
  <Paragraphs>3</Paragraphs>
  <TotalTime>15</TotalTime>
  <ScaleCrop>false</ScaleCrop>
  <LinksUpToDate>false</LinksUpToDate>
  <CharactersWithSpaces>1558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wuye</dc:creator>
  <cp:lastModifiedBy>1003.</cp:lastModifiedBy>
  <dcterms:modified xsi:type="dcterms:W3CDTF">2024-01-09T07:56:26Z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62BE0DDFBA6F446E8D88B8D46CDC4519_13</vt:lpwstr>
  </property>
</Properties>
</file>