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9C" w:rsidRPr="00F24086" w:rsidRDefault="00C73946" w:rsidP="00F773C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资产报废流程</w:t>
      </w:r>
    </w:p>
    <w:p w:rsidR="00E042B1" w:rsidRDefault="006F46EF">
      <w:r>
        <w:pict>
          <v:group id="_x0000_s1075" editas="canvas" style="width:415.3pt;height:661.35pt;mso-position-horizontal-relative:char;mso-position-vertical-relative:line" coordorigin="1800,1529" coordsize="8306,1322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1800;top:1529;width:8306;height:13227" o:preferrelative="f">
              <v:fill o:detectmouseclick="t"/>
              <v:path o:extrusionok="t" o:connecttype="none"/>
              <o:lock v:ext="edit" text="t"/>
            </v:shape>
            <v:rect id="_x0000_s1198" style="position:absolute;left:1865;top:3715;width:8170;height:1000" strokeweight="1pt">
              <v:fill opacity="0"/>
              <v:stroke dashstyle="dash"/>
              <v:textbox>
                <w:txbxContent>
                  <w:p w:rsidR="00B21502" w:rsidRDefault="00B21502" w:rsidP="00366743"/>
                </w:txbxContent>
              </v:textbox>
            </v:rect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1076" type="#_x0000_t117" style="position:absolute;left:4371;top:1690;width:3135;height:570">
              <v:textbox>
                <w:txbxContent>
                  <w:p w:rsidR="00D5336B" w:rsidRDefault="00D5336B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资产达到报废条件</w:t>
                    </w:r>
                  </w:p>
                </w:txbxContent>
              </v:textbox>
            </v:shape>
            <v:rect id="_x0000_s1077" style="position:absolute;left:1939;top:3805;width:2501;height:786">
              <v:textbox>
                <w:txbxContent>
                  <w:p w:rsidR="00044812" w:rsidRDefault="00044812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使用</w:t>
                    </w:r>
                    <w:r w:rsidR="008C2CF9">
                      <w:rPr>
                        <w:rFonts w:hint="eastAsia"/>
                      </w:rPr>
                      <w:t>人</w:t>
                    </w:r>
                    <w:r>
                      <w:rPr>
                        <w:rFonts w:hint="eastAsia"/>
                      </w:rPr>
                      <w:t>在</w:t>
                    </w:r>
                    <w:r>
                      <w:rPr>
                        <w:rFonts w:hint="eastAsia"/>
                      </w:rPr>
                      <w:t>OA</w:t>
                    </w:r>
                    <w:r>
                      <w:rPr>
                        <w:rFonts w:hint="eastAsia"/>
                      </w:rPr>
                      <w:t>资产</w:t>
                    </w:r>
                    <w:r w:rsidR="009D68F8">
                      <w:rPr>
                        <w:rFonts w:hint="eastAsia"/>
                      </w:rPr>
                      <w:t>管理</w:t>
                    </w:r>
                    <w:r>
                      <w:rPr>
                        <w:rFonts w:hint="eastAsia"/>
                      </w:rPr>
                      <w:t>空间填写“</w:t>
                    </w:r>
                    <w:r w:rsidRPr="00F36726">
                      <w:rPr>
                        <w:rFonts w:hint="eastAsia"/>
                      </w:rPr>
                      <w:t>报废申请</w:t>
                    </w:r>
                    <w:r>
                      <w:rPr>
                        <w:rFonts w:hint="eastAsia"/>
                      </w:rPr>
                      <w:t>”</w:t>
                    </w:r>
                  </w:p>
                  <w:p w:rsidR="00B00CCD" w:rsidRPr="00044812" w:rsidRDefault="00B00CCD" w:rsidP="00366743"/>
                </w:txbxContent>
              </v:textbox>
            </v:re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78" type="#_x0000_t110" style="position:absolute;left:4666;top:2625;width:2549;height:705">
              <v:textbox>
                <w:txbxContent>
                  <w:p w:rsidR="00B00CCD" w:rsidRDefault="00B00CCD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资产</w:t>
                    </w:r>
                    <w:r w:rsidR="00240FAD">
                      <w:rPr>
                        <w:rFonts w:hint="eastAsia"/>
                      </w:rPr>
                      <w:t>单价</w:t>
                    </w:r>
                  </w:p>
                </w:txbxContent>
              </v:textbox>
            </v:shape>
            <v:rect id="_x0000_s1079" style="position:absolute;left:7410;top:3805;width:2549;height:786">
              <v:textbox>
                <w:txbxContent>
                  <w:p w:rsidR="00F36726" w:rsidRDefault="00F36726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使用</w:t>
                    </w:r>
                    <w:r w:rsidR="008C2CF9">
                      <w:rPr>
                        <w:rFonts w:hint="eastAsia"/>
                      </w:rPr>
                      <w:t>人</w:t>
                    </w:r>
                    <w:r w:rsidR="00044812">
                      <w:rPr>
                        <w:rFonts w:hint="eastAsia"/>
                      </w:rPr>
                      <w:t>在</w:t>
                    </w:r>
                    <w:r w:rsidR="00044812">
                      <w:rPr>
                        <w:rFonts w:hint="eastAsia"/>
                      </w:rPr>
                      <w:t>OA</w:t>
                    </w:r>
                    <w:r w:rsidR="00044812">
                      <w:rPr>
                        <w:rFonts w:hint="eastAsia"/>
                      </w:rPr>
                      <w:t>资产</w:t>
                    </w:r>
                    <w:r w:rsidR="009D68F8">
                      <w:rPr>
                        <w:rFonts w:hint="eastAsia"/>
                      </w:rPr>
                      <w:t>管理</w:t>
                    </w:r>
                    <w:r w:rsidR="00044812">
                      <w:rPr>
                        <w:rFonts w:hint="eastAsia"/>
                      </w:rPr>
                      <w:t>空间</w:t>
                    </w:r>
                    <w:r>
                      <w:rPr>
                        <w:rFonts w:hint="eastAsia"/>
                      </w:rPr>
                      <w:t>填写“</w:t>
                    </w:r>
                    <w:r w:rsidRPr="00F36726">
                      <w:rPr>
                        <w:rFonts w:hint="eastAsia"/>
                      </w:rPr>
                      <w:t>报废申请</w:t>
                    </w:r>
                    <w:r>
                      <w:rPr>
                        <w:rFonts w:hint="eastAsia"/>
                      </w:rPr>
                      <w:t>”</w:t>
                    </w:r>
                  </w:p>
                </w:txbxContent>
              </v:textbox>
            </v:rect>
            <v:rect id="_x0000_s1080" style="position:absolute;left:4575;top:3805;width:2730;height:786">
              <v:textbox>
                <w:txbxContent>
                  <w:p w:rsidR="00044812" w:rsidRDefault="00044812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使用</w:t>
                    </w:r>
                    <w:r w:rsidR="008C2CF9">
                      <w:rPr>
                        <w:rFonts w:hint="eastAsia"/>
                      </w:rPr>
                      <w:t>人</w:t>
                    </w:r>
                    <w:r>
                      <w:rPr>
                        <w:rFonts w:hint="eastAsia"/>
                      </w:rPr>
                      <w:t>在</w:t>
                    </w:r>
                    <w:r>
                      <w:rPr>
                        <w:rFonts w:hint="eastAsia"/>
                      </w:rPr>
                      <w:t>OA</w:t>
                    </w:r>
                    <w:r>
                      <w:rPr>
                        <w:rFonts w:hint="eastAsia"/>
                      </w:rPr>
                      <w:t>资产</w:t>
                    </w:r>
                    <w:r w:rsidR="009D68F8">
                      <w:rPr>
                        <w:rFonts w:hint="eastAsia"/>
                      </w:rPr>
                      <w:t>管理</w:t>
                    </w:r>
                    <w:r>
                      <w:rPr>
                        <w:rFonts w:hint="eastAsia"/>
                      </w:rPr>
                      <w:t>空间填写“</w:t>
                    </w:r>
                    <w:r w:rsidRPr="00F36726">
                      <w:rPr>
                        <w:rFonts w:hint="eastAsia"/>
                      </w:rPr>
                      <w:t>报废申请</w:t>
                    </w:r>
                    <w:r>
                      <w:rPr>
                        <w:rFonts w:hint="eastAsia"/>
                      </w:rPr>
                      <w:t>”</w:t>
                    </w:r>
                  </w:p>
                  <w:p w:rsidR="00F36726" w:rsidRPr="00044812" w:rsidRDefault="00F36726" w:rsidP="00366743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3" type="#_x0000_t32" style="position:absolute;left:5939;top:2260;width:2;height:365" o:connectortype="straight">
              <v:stroke endarrow="block"/>
            </v:shape>
            <v:shape id="_x0000_s1084" type="#_x0000_t32" style="position:absolute;left:5940;top:3330;width:1;height:475;flip:x" o:connectortype="straight">
              <v:stroke endarrow="block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86" type="#_x0000_t33" style="position:absolute;left:3190;top:2978;width:1476;height:827;rotation:180;flip:y" o:connectortype="elbow" adj="-68283,94183,-68283">
              <v:stroke endarrow="block"/>
            </v:shape>
            <v:shape id="_x0000_s1088" type="#_x0000_t33" style="position:absolute;left:7215;top:2978;width:1470;height:827" o:connectortype="elbow" adj="-106016,-94183,-106016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6" type="#_x0000_t202" style="position:absolute;left:3318;top:2576;width:1575;height:495" stroked="f">
              <v:fill opacity="0"/>
              <v:textbox>
                <w:txbxContent>
                  <w:p w:rsidR="0042760B" w:rsidRPr="00BC7046" w:rsidRDefault="008E19D6" w:rsidP="00366743">
                    <w:pPr>
                      <w:rPr>
                        <w:sz w:val="20"/>
                      </w:rPr>
                    </w:pPr>
                    <w:r w:rsidRPr="00BC7046">
                      <w:rPr>
                        <w:rFonts w:ascii="宋体" w:eastAsia="宋体" w:hAnsi="宋体" w:hint="eastAsia"/>
                        <w:sz w:val="20"/>
                      </w:rPr>
                      <w:t>原值</w:t>
                    </w:r>
                    <w:r w:rsidR="0042760B" w:rsidRPr="00BC7046">
                      <w:rPr>
                        <w:rFonts w:ascii="宋体" w:eastAsia="宋体" w:hAnsi="宋体" w:hint="eastAsia"/>
                        <w:sz w:val="20"/>
                      </w:rPr>
                      <w:t>&lt;10</w:t>
                    </w:r>
                    <w:r w:rsidR="0042760B" w:rsidRPr="00BC7046">
                      <w:rPr>
                        <w:rFonts w:hint="eastAsia"/>
                        <w:sz w:val="20"/>
                      </w:rPr>
                      <w:t>万</w:t>
                    </w:r>
                  </w:p>
                </w:txbxContent>
              </v:textbox>
            </v:shape>
            <v:shape id="_x0000_s1137" type="#_x0000_t202" style="position:absolute;left:7234;top:2555;width:1575;height:495" stroked="f">
              <v:fill opacity="0"/>
              <v:textbox>
                <w:txbxContent>
                  <w:p w:rsidR="0042760B" w:rsidRPr="00BC7046" w:rsidRDefault="008E19D6" w:rsidP="00366743">
                    <w:pPr>
                      <w:rPr>
                        <w:sz w:val="20"/>
                      </w:rPr>
                    </w:pPr>
                    <w:r w:rsidRPr="00BC7046">
                      <w:rPr>
                        <w:rFonts w:ascii="宋体" w:eastAsia="宋体" w:hAnsi="宋体" w:hint="eastAsia"/>
                        <w:sz w:val="20"/>
                      </w:rPr>
                      <w:t>原值</w:t>
                    </w:r>
                    <w:r w:rsidR="0042760B" w:rsidRPr="00BC7046">
                      <w:rPr>
                        <w:rFonts w:ascii="宋体" w:eastAsia="宋体" w:hAnsi="宋体" w:hint="eastAsia"/>
                        <w:sz w:val="20"/>
                      </w:rPr>
                      <w:t>≥40</w:t>
                    </w:r>
                    <w:r w:rsidR="0042760B" w:rsidRPr="00BC7046">
                      <w:rPr>
                        <w:rFonts w:hint="eastAsia"/>
                        <w:sz w:val="20"/>
                      </w:rPr>
                      <w:t>万</w:t>
                    </w:r>
                  </w:p>
                </w:txbxContent>
              </v:textbox>
            </v:shape>
            <v:shape id="_x0000_s1138" type="#_x0000_t202" style="position:absolute;left:5919;top:3270;width:2220;height:495" stroked="f">
              <v:fill opacity="0"/>
              <v:textbox>
                <w:txbxContent>
                  <w:p w:rsidR="0042760B" w:rsidRPr="00BC7046" w:rsidRDefault="0042760B" w:rsidP="00366743">
                    <w:pPr>
                      <w:rPr>
                        <w:sz w:val="20"/>
                      </w:rPr>
                    </w:pPr>
                    <w:r w:rsidRPr="00BC7046">
                      <w:rPr>
                        <w:rFonts w:ascii="宋体" w:eastAsia="宋体" w:hAnsi="宋体" w:hint="eastAsia"/>
                        <w:sz w:val="20"/>
                      </w:rPr>
                      <w:t>10万≤原值&lt;40</w:t>
                    </w:r>
                    <w:r w:rsidRPr="00BC7046">
                      <w:rPr>
                        <w:rFonts w:hint="eastAsia"/>
                        <w:sz w:val="20"/>
                      </w:rPr>
                      <w:t>万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40" type="#_x0000_t109" style="position:absolute;left:1939;top:4994;width:2486;height:746">
              <v:textbox style="mso-next-textbox:#_x0000_s1140">
                <w:txbxContent>
                  <w:p w:rsidR="00943CFC" w:rsidRDefault="00BC7046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使用人</w:t>
                    </w:r>
                    <w:r w:rsidR="00943CFC">
                      <w:rPr>
                        <w:rFonts w:hint="eastAsia"/>
                      </w:rPr>
                      <w:t>技术鉴定</w:t>
                    </w:r>
                  </w:p>
                </w:txbxContent>
              </v:textbox>
            </v:shape>
            <v:shape id="_x0000_s1141" type="#_x0000_t109" style="position:absolute;left:4591;top:4994;width:2699;height:746">
              <v:textbox>
                <w:txbxContent>
                  <w:p w:rsidR="008F1590" w:rsidRDefault="00793B4F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五位</w:t>
                    </w:r>
                    <w:r w:rsidR="00943CFC">
                      <w:rPr>
                        <w:rFonts w:hint="eastAsia"/>
                      </w:rPr>
                      <w:t>技术</w:t>
                    </w:r>
                    <w:r w:rsidR="00044812">
                      <w:rPr>
                        <w:rFonts w:hint="eastAsia"/>
                      </w:rPr>
                      <w:t>人员</w:t>
                    </w:r>
                    <w:r w:rsidR="00943CFC">
                      <w:rPr>
                        <w:rFonts w:hint="eastAsia"/>
                      </w:rPr>
                      <w:t>鉴定</w:t>
                    </w:r>
                    <w:r w:rsidR="008F1590">
                      <w:rPr>
                        <w:rFonts w:hint="eastAsia"/>
                      </w:rPr>
                      <w:t>，</w:t>
                    </w:r>
                    <w:r w:rsidR="003F6ED2">
                      <w:rPr>
                        <w:rFonts w:hint="eastAsia"/>
                      </w:rPr>
                      <w:t>OA</w:t>
                    </w:r>
                    <w:r w:rsidR="009F3368">
                      <w:rPr>
                        <w:rFonts w:hint="eastAsia"/>
                      </w:rPr>
                      <w:t>填写</w:t>
                    </w:r>
                    <w:r w:rsidR="008F1590">
                      <w:rPr>
                        <w:rFonts w:hint="eastAsia"/>
                      </w:rPr>
                      <w:t>“</w:t>
                    </w:r>
                    <w:r w:rsidR="008F1590" w:rsidRPr="00F36726">
                      <w:rPr>
                        <w:rFonts w:hint="eastAsia"/>
                      </w:rPr>
                      <w:t>技术鉴定</w:t>
                    </w:r>
                    <w:r w:rsidR="003F6ED2">
                      <w:rPr>
                        <w:rFonts w:hint="eastAsia"/>
                      </w:rPr>
                      <w:t>意见</w:t>
                    </w:r>
                    <w:r w:rsidR="008F1590" w:rsidRPr="00F36726">
                      <w:rPr>
                        <w:rFonts w:hint="eastAsia"/>
                      </w:rPr>
                      <w:t>表</w:t>
                    </w:r>
                    <w:r w:rsidR="008F1590">
                      <w:rPr>
                        <w:rFonts w:hint="eastAsia"/>
                      </w:rPr>
                      <w:t>”</w:t>
                    </w:r>
                  </w:p>
                  <w:p w:rsidR="00943CFC" w:rsidRPr="008F1590" w:rsidRDefault="00943CFC" w:rsidP="00366743">
                    <w:pPr>
                      <w:jc w:val="center"/>
                    </w:pPr>
                  </w:p>
                </w:txbxContent>
              </v:textbox>
            </v:shape>
            <v:shape id="_x0000_s1142" type="#_x0000_t109" style="position:absolute;left:7515;top:4994;width:2340;height:746">
              <v:textbox>
                <w:txbxContent>
                  <w:p w:rsidR="00943CFC" w:rsidRDefault="00793B4F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五位</w:t>
                    </w:r>
                    <w:r w:rsidR="00943CFC" w:rsidRPr="003513C8">
                      <w:rPr>
                        <w:rFonts w:hint="eastAsia"/>
                      </w:rPr>
                      <w:t>专家鉴定</w:t>
                    </w:r>
                    <w:r w:rsidR="008F1590">
                      <w:rPr>
                        <w:rFonts w:hint="eastAsia"/>
                      </w:rPr>
                      <w:t>，</w:t>
                    </w:r>
                    <w:r w:rsidR="003F6ED2">
                      <w:rPr>
                        <w:rFonts w:hint="eastAsia"/>
                      </w:rPr>
                      <w:t>OA</w:t>
                    </w:r>
                    <w:r w:rsidR="009F3368">
                      <w:rPr>
                        <w:rFonts w:hint="eastAsia"/>
                      </w:rPr>
                      <w:t>填写</w:t>
                    </w:r>
                    <w:r w:rsidR="008F1590">
                      <w:rPr>
                        <w:rFonts w:hint="eastAsia"/>
                      </w:rPr>
                      <w:t>“</w:t>
                    </w:r>
                    <w:r w:rsidR="008F1590" w:rsidRPr="00F36726">
                      <w:rPr>
                        <w:rFonts w:hint="eastAsia"/>
                      </w:rPr>
                      <w:t>技术鉴定</w:t>
                    </w:r>
                    <w:r w:rsidR="003F6ED2">
                      <w:rPr>
                        <w:rFonts w:hint="eastAsia"/>
                      </w:rPr>
                      <w:t>意见</w:t>
                    </w:r>
                    <w:r w:rsidR="008F1590" w:rsidRPr="00F36726">
                      <w:rPr>
                        <w:rFonts w:hint="eastAsia"/>
                      </w:rPr>
                      <w:t>表</w:t>
                    </w:r>
                    <w:r w:rsidR="008F1590">
                      <w:rPr>
                        <w:rFonts w:hint="eastAsia"/>
                      </w:rPr>
                      <w:t>”</w:t>
                    </w:r>
                  </w:p>
                </w:txbxContent>
              </v:textbox>
            </v:shape>
            <v:shape id="_x0000_s1143" type="#_x0000_t109" style="position:absolute;left:7560;top:10345;width:2250;height:525">
              <v:textbox>
                <w:txbxContent>
                  <w:p w:rsidR="00943CFC" w:rsidRDefault="00943CFC" w:rsidP="00366743">
                    <w:r>
                      <w:rPr>
                        <w:rFonts w:hint="eastAsia"/>
                      </w:rPr>
                      <w:t>国资处组织公开</w:t>
                    </w:r>
                    <w:r w:rsidR="00C02EE2">
                      <w:rPr>
                        <w:rFonts w:hint="eastAsia"/>
                      </w:rPr>
                      <w:t>拍卖</w:t>
                    </w:r>
                  </w:p>
                </w:txbxContent>
              </v:textbox>
            </v:shape>
            <v:shape id="_x0000_s1144" type="#_x0000_t110" style="position:absolute;left:3311;top:10254;width:2449;height:720">
              <v:textbox>
                <w:txbxContent>
                  <w:p w:rsidR="00943CFC" w:rsidRDefault="00184614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资产</w:t>
                    </w:r>
                    <w:r w:rsidR="0028526D">
                      <w:rPr>
                        <w:rFonts w:hint="eastAsia"/>
                      </w:rPr>
                      <w:t>数量</w:t>
                    </w:r>
                  </w:p>
                </w:txbxContent>
              </v:textbox>
            </v:shape>
            <v:shape id="_x0000_s1149" type="#_x0000_t32" style="position:absolute;left:5760;top:10608;width:1800;height:6;flip:y" o:connectortype="straight">
              <v:stroke endarrow="block"/>
            </v:shape>
            <v:shape id="_x0000_s1152" type="#_x0000_t202" style="position:absolute;left:5673;top:10254;width:1947;height:495" stroked="f">
              <v:fill opacity="0"/>
              <v:textbox>
                <w:txbxContent>
                  <w:p w:rsidR="00943CFC" w:rsidRPr="00BC7046" w:rsidRDefault="00723F91" w:rsidP="00366743">
                    <w:pPr>
                      <w:rPr>
                        <w:sz w:val="20"/>
                      </w:rPr>
                    </w:pPr>
                    <w:r w:rsidRPr="00BC7046">
                      <w:rPr>
                        <w:rFonts w:hint="eastAsia"/>
                        <w:sz w:val="20"/>
                      </w:rPr>
                      <w:t>同类</w:t>
                    </w:r>
                    <w:r w:rsidR="0028526D" w:rsidRPr="00BC7046">
                      <w:rPr>
                        <w:rFonts w:hint="eastAsia"/>
                        <w:sz w:val="20"/>
                      </w:rPr>
                      <w:t>批量</w:t>
                    </w:r>
                    <w:r w:rsidR="00943CFC" w:rsidRPr="00BC7046">
                      <w:rPr>
                        <w:rFonts w:ascii="宋体" w:eastAsia="宋体" w:hAnsi="宋体" w:hint="eastAsia"/>
                        <w:sz w:val="20"/>
                      </w:rPr>
                      <w:t>≥</w:t>
                    </w:r>
                    <w:r w:rsidR="003E2629" w:rsidRPr="00BC7046">
                      <w:rPr>
                        <w:rFonts w:ascii="宋体" w:eastAsia="宋体" w:hAnsi="宋体" w:hint="eastAsia"/>
                        <w:sz w:val="20"/>
                      </w:rPr>
                      <w:t>50台</w:t>
                    </w:r>
                  </w:p>
                </w:txbxContent>
              </v:textbox>
            </v:shape>
            <v:shape id="_x0000_s1153" type="#_x0000_t109" style="position:absolute;left:3010;top:12278;width:3064;height:525">
              <v:textbox>
                <w:txbxContent>
                  <w:p w:rsidR="008F7993" w:rsidRDefault="003A113F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国资处</w:t>
                    </w:r>
                    <w:r w:rsidR="000971AD">
                      <w:rPr>
                        <w:rFonts w:hint="eastAsia"/>
                      </w:rPr>
                      <w:t>组织</w:t>
                    </w:r>
                    <w:r w:rsidR="008F7993">
                      <w:rPr>
                        <w:rFonts w:hint="eastAsia"/>
                      </w:rPr>
                      <w:t>回收单位</w:t>
                    </w:r>
                    <w:r>
                      <w:rPr>
                        <w:rFonts w:hint="eastAsia"/>
                      </w:rPr>
                      <w:t>议价</w:t>
                    </w:r>
                    <w:r w:rsidR="008F7993">
                      <w:rPr>
                        <w:rFonts w:hint="eastAsia"/>
                      </w:rPr>
                      <w:t>回收</w:t>
                    </w:r>
                  </w:p>
                  <w:p w:rsidR="00943CFC" w:rsidRPr="00EF2518" w:rsidRDefault="00943CFC" w:rsidP="00366743">
                    <w:pPr>
                      <w:jc w:val="center"/>
                    </w:pPr>
                  </w:p>
                </w:txbxContent>
              </v:textbox>
            </v:shape>
            <v:shape id="_x0000_s1154" type="#_x0000_t109" style="position:absolute;left:7385;top:12278;width:2615;height:525">
              <v:textbox>
                <w:txbxContent>
                  <w:p w:rsidR="00943CFC" w:rsidRDefault="003A113F" w:rsidP="00366743">
                    <w:r>
                      <w:rPr>
                        <w:rFonts w:hint="eastAsia"/>
                      </w:rPr>
                      <w:t>国资处</w:t>
                    </w:r>
                    <w:r w:rsidR="008F7993">
                      <w:rPr>
                        <w:rFonts w:hint="eastAsia"/>
                      </w:rPr>
                      <w:t>组织中标单位回收</w:t>
                    </w:r>
                  </w:p>
                </w:txbxContent>
              </v:textbox>
            </v:shape>
            <v:shape id="_x0000_s1155" type="#_x0000_t32" style="position:absolute;left:8685;top:10870;width:1;height:519" o:connectortype="straight">
              <v:stroke endarrow="block"/>
            </v:shape>
            <v:shape id="_x0000_s1156" type="#_x0000_t32" style="position:absolute;left:4536;top:10974;width:1;height:415" o:connectortype="straight">
              <v:stroke endarrow="block"/>
            </v:shape>
            <v:shape id="_x0000_s1157" type="#_x0000_t202" style="position:absolute;left:4400;top:10944;width:2218;height:495" stroked="f">
              <v:fill opacity="0"/>
              <v:textbox>
                <w:txbxContent>
                  <w:p w:rsidR="00172ADF" w:rsidRPr="00BC7046" w:rsidRDefault="00723F91" w:rsidP="00366743">
                    <w:pPr>
                      <w:ind w:firstLineChars="50" w:firstLine="100"/>
                      <w:rPr>
                        <w:sz w:val="20"/>
                      </w:rPr>
                    </w:pPr>
                    <w:r w:rsidRPr="00BC7046">
                      <w:rPr>
                        <w:rFonts w:ascii="宋体" w:eastAsia="宋体" w:hAnsi="宋体" w:hint="eastAsia"/>
                        <w:sz w:val="20"/>
                      </w:rPr>
                      <w:t>同类</w:t>
                    </w:r>
                    <w:r w:rsidR="0028526D" w:rsidRPr="00BC7046">
                      <w:rPr>
                        <w:rFonts w:ascii="宋体" w:eastAsia="宋体" w:hAnsi="宋体" w:hint="eastAsia"/>
                        <w:sz w:val="20"/>
                      </w:rPr>
                      <w:t>批量</w:t>
                    </w:r>
                    <w:r w:rsidR="00172ADF" w:rsidRPr="00BC7046">
                      <w:rPr>
                        <w:rFonts w:ascii="宋体" w:eastAsia="宋体" w:hAnsi="宋体" w:hint="eastAsia"/>
                        <w:sz w:val="20"/>
                      </w:rPr>
                      <w:t>&lt;</w:t>
                    </w:r>
                    <w:r w:rsidR="003E2629" w:rsidRPr="00BC7046">
                      <w:rPr>
                        <w:rFonts w:ascii="宋体" w:eastAsia="宋体" w:hAnsi="宋体" w:hint="eastAsia"/>
                        <w:sz w:val="20"/>
                      </w:rPr>
                      <w:t>50台/件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65" type="#_x0000_t34" style="position:absolute;left:5328;top:12017;width:531;height:2104;rotation:90;flip:x" o:connectortype="elbow" adj="10780,137885,-184759">
              <v:stroke endarrow="block"/>
            </v:shape>
            <v:shape id="_x0000_s1166" type="#_x0000_t34" style="position:absolute;left:7404;top:12045;width:531;height:2047;rotation:90" o:connectortype="elbow" adj="10780,-141724,-353614">
              <v:stroke endarrow="block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169" type="#_x0000_t176" style="position:absolute;left:6054;top:6898;width:1170;height:479">
              <v:textbox>
                <w:txbxContent>
                  <w:p w:rsidR="00162729" w:rsidRDefault="00162729" w:rsidP="00366743">
                    <w:r>
                      <w:rPr>
                        <w:rFonts w:hint="eastAsia"/>
                      </w:rPr>
                      <w:t>继续使用</w:t>
                    </w:r>
                  </w:p>
                </w:txbxContent>
              </v:textbox>
            </v:shape>
            <v:shape id="_x0000_s1172" type="#_x0000_t202" style="position:absolute;left:6153;top:6184;width:1155;height:495" stroked="f">
              <v:fill opacity="0"/>
              <v:textbox style="mso-next-textbox:#_x0000_s1172">
                <w:txbxContent>
                  <w:p w:rsidR="00162729" w:rsidRDefault="00162729" w:rsidP="00366743">
                    <w:r>
                      <w:rPr>
                        <w:rFonts w:hint="eastAsia"/>
                      </w:rPr>
                      <w:t>未通过</w:t>
                    </w:r>
                  </w:p>
                </w:txbxContent>
              </v:textbox>
            </v:shape>
            <v:shape id="_x0000_s1178" type="#_x0000_t202" style="position:absolute;left:4527;top:6956;width:1159;height:495" stroked="f">
              <v:fill opacity="0"/>
              <v:textbox>
                <w:txbxContent>
                  <w:p w:rsidR="00162729" w:rsidRDefault="00162729" w:rsidP="00366743">
                    <w:r>
                      <w:rPr>
                        <w:rFonts w:hint="eastAsia"/>
                      </w:rPr>
                      <w:t>通过</w:t>
                    </w:r>
                  </w:p>
                </w:txbxContent>
              </v:textbox>
            </v:shape>
            <v:shape id="_x0000_s1179" type="#_x0000_t202" style="position:absolute;left:8689;top:6957;width:729;height:420" stroked="f">
              <v:fill opacity="0"/>
              <v:textbox>
                <w:txbxContent>
                  <w:p w:rsidR="00162729" w:rsidRDefault="00162729" w:rsidP="00366743">
                    <w:r>
                      <w:rPr>
                        <w:rFonts w:hint="eastAsia"/>
                      </w:rPr>
                      <w:t>通过</w:t>
                    </w:r>
                  </w:p>
                </w:txbxContent>
              </v:textbox>
            </v:shape>
            <v:shape id="_x0000_s1182" type="#_x0000_t109" style="position:absolute;left:3445;top:11389;width:2181;height:525">
              <v:textbox>
                <w:txbxContent>
                  <w:p w:rsidR="008F7993" w:rsidRDefault="008F7993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使用单位交回实物</w:t>
                    </w:r>
                  </w:p>
                </w:txbxContent>
              </v:textbox>
            </v:shape>
            <v:shape id="_x0000_s1183" type="#_x0000_t109" style="position:absolute;left:7650;top:11389;width:2070;height:525">
              <v:textbox>
                <w:txbxContent>
                  <w:p w:rsidR="00EF2518" w:rsidRDefault="008F7993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使用单位交回实物</w:t>
                    </w:r>
                  </w:p>
                </w:txbxContent>
              </v:textbox>
            </v:shape>
            <v:shape id="_x0000_s1184" type="#_x0000_t32" style="position:absolute;left:4536;top:11914;width:6;height:364" o:connectortype="straight">
              <v:stroke endarrow="block"/>
            </v:shape>
            <v:shape id="_x0000_s1185" type="#_x0000_t32" style="position:absolute;left:8685;top:11914;width:8;height:364" o:connectortype="straight">
              <v:stroke endarrow="block"/>
            </v:shape>
            <v:shape id="_x0000_s1187" type="#_x0000_t110" style="position:absolute;left:3458;top:6170;width:2155;height:797">
              <v:textbox>
                <w:txbxContent>
                  <w:p w:rsidR="00746EAC" w:rsidRDefault="00746EAC" w:rsidP="00366743">
                    <w:pPr>
                      <w:jc w:val="left"/>
                    </w:pPr>
                    <w:r>
                      <w:t>鉴定</w:t>
                    </w:r>
                    <w:r>
                      <w:rPr>
                        <w:rFonts w:hint="eastAsia"/>
                      </w:rPr>
                      <w:t>结论</w:t>
                    </w:r>
                  </w:p>
                </w:txbxContent>
              </v:textbox>
            </v:shape>
            <v:shape id="_x0000_s1188" type="#_x0000_t34" style="position:absolute;left:3644;top:5278;width:430;height:1354;rotation:90;flip:x" o:connectortype="elbow" adj=",101587,-159840">
              <v:stroke endarrow="block"/>
            </v:shape>
            <v:shape id="_x0000_s1189" type="#_x0000_t34" style="position:absolute;left:5024;top:5252;width:430;height:1405;rotation:90" o:connectortype="elbow" adj=",-97900,-298432">
              <v:stroke endarrow="block"/>
            </v:shape>
            <v:shape id="_x0000_s1192" type="#_x0000_t110" style="position:absolute;left:7611;top:6170;width:2155;height:797">
              <v:textbox>
                <w:txbxContent>
                  <w:p w:rsidR="00746EAC" w:rsidRDefault="00746EAC" w:rsidP="00366743">
                    <w:pPr>
                      <w:jc w:val="left"/>
                    </w:pPr>
                    <w:r>
                      <w:t>鉴定</w:t>
                    </w:r>
                    <w:r>
                      <w:rPr>
                        <w:rFonts w:hint="eastAsia"/>
                      </w:rPr>
                      <w:t>结论</w:t>
                    </w:r>
                  </w:p>
                </w:txbxContent>
              </v:textbox>
            </v:shape>
            <v:shape id="_x0000_s1193" type="#_x0000_t32" style="position:absolute;left:8685;top:5740;width:4;height:430" o:connectortype="straight">
              <v:stroke endarrow="block"/>
            </v:shape>
            <v:shape id="_x0000_s1196" type="#_x0000_t33" style="position:absolute;left:5613;top:6569;width:1026;height:329" o:connectortype="elbow" adj="-118168,-472508,-118168">
              <v:stroke endarrow="block"/>
            </v:shape>
            <v:shape id="_x0000_s1197" type="#_x0000_t33" style="position:absolute;left:6639;top:6569;width:972;height:329;rotation:180;flip:y" o:connectortype="elbow" adj="-169133,472508,-169133">
              <v:stroke endarrow="block"/>
            </v:shape>
            <v:shape id="_x0000_s1199" type="#_x0000_t202" style="position:absolute;left:8799;top:1690;width:1194;height:1660" fillcolor="white [3201]" strokecolor="#f79646 [3209]" strokeweight="1pt">
              <v:fill opacity="0"/>
              <v:stroke dashstyle="dash"/>
              <v:shadow color="#868686"/>
              <v:textbox>
                <w:txbxContent>
                  <w:p w:rsidR="003506BD" w:rsidRPr="003506BD" w:rsidRDefault="003506BD" w:rsidP="00366743">
                    <w:pPr>
                      <w:rPr>
                        <w:sz w:val="16"/>
                      </w:rPr>
                    </w:pPr>
                    <w:r>
                      <w:rPr>
                        <w:rFonts w:ascii="宋体" w:eastAsia="宋体" w:hAnsi="宋体" w:hint="eastAsia"/>
                        <w:sz w:val="16"/>
                      </w:rPr>
                      <w:t>注意：</w:t>
                    </w:r>
                    <w:r w:rsidRPr="003506BD">
                      <w:rPr>
                        <w:rFonts w:ascii="宋体" w:eastAsia="宋体" w:hAnsi="宋体" w:hint="eastAsia"/>
                        <w:sz w:val="16"/>
                      </w:rPr>
                      <w:t>未达</w:t>
                    </w:r>
                    <w:r w:rsidRPr="003506BD">
                      <w:rPr>
                        <w:rFonts w:ascii="宋体" w:eastAsia="宋体" w:hAnsi="宋体"/>
                        <w:sz w:val="16"/>
                      </w:rPr>
                      <w:t>年限</w:t>
                    </w:r>
                    <w:r w:rsidR="009C40A1">
                      <w:rPr>
                        <w:rFonts w:ascii="宋体" w:eastAsia="宋体" w:hAnsi="宋体" w:hint="eastAsia"/>
                        <w:sz w:val="16"/>
                      </w:rPr>
                      <w:t>的毁损</w:t>
                    </w:r>
                    <w:r w:rsidRPr="003506BD">
                      <w:rPr>
                        <w:rFonts w:ascii="宋体" w:eastAsia="宋体" w:hAnsi="宋体" w:hint="eastAsia"/>
                        <w:sz w:val="16"/>
                      </w:rPr>
                      <w:t>报废，</w:t>
                    </w:r>
                    <w:r w:rsidRPr="003506BD">
                      <w:rPr>
                        <w:rFonts w:ascii="宋体" w:eastAsia="宋体" w:hAnsi="宋体"/>
                        <w:sz w:val="16"/>
                      </w:rPr>
                      <w:t>需OA上传“</w:t>
                    </w:r>
                    <w:r w:rsidR="00EF0A8D">
                      <w:rPr>
                        <w:rFonts w:ascii="宋体" w:eastAsia="宋体" w:hAnsi="宋体"/>
                        <w:sz w:val="16"/>
                      </w:rPr>
                      <w:t>损坏</w:t>
                    </w:r>
                    <w:r w:rsidRPr="003506BD">
                      <w:rPr>
                        <w:rFonts w:ascii="宋体" w:eastAsia="宋体" w:hAnsi="宋体"/>
                        <w:sz w:val="16"/>
                      </w:rPr>
                      <w:t>情况说明”</w:t>
                    </w:r>
                  </w:p>
                </w:txbxContent>
              </v:textbox>
            </v:shape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1201" type="#_x0000_t93" style="position:absolute;left:8890;top:3349;width:550;height:181;rotation:-3473718fd"/>
            <v:shape id="_x0000_s1203" type="#_x0000_t109" style="position:absolute;left:3190;top:9411;width:2690;height:515">
              <v:textbox>
                <w:txbxContent>
                  <w:p w:rsidR="00B21502" w:rsidRDefault="00B21502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国资处报校长办公会审批</w:t>
                    </w:r>
                  </w:p>
                </w:txbxContent>
              </v:textbox>
            </v:shape>
            <v:shape id="_x0000_s1205" type="#_x0000_t109" style="position:absolute;left:7345;top:9411;width:2690;height:515">
              <v:textbox>
                <w:txbxContent>
                  <w:p w:rsidR="00B21502" w:rsidRDefault="00B21502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国资处报校长办公会审批</w:t>
                    </w:r>
                  </w:p>
                </w:txbxContent>
              </v:textbox>
            </v:shape>
            <v:shape id="_x0000_s1207" type="#_x0000_t32" style="position:absolute;left:4535;top:9926;width:1;height:328" o:connectortype="straight">
              <v:stroke endarrow="block"/>
            </v:shape>
            <v:shape id="_x0000_s1209" type="#_x0000_t32" style="position:absolute;left:8685;top:9926;width:5;height:419;flip:x" o:connectortype="straight">
              <v:stroke endarrow="block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210" type="#_x0000_t116" style="position:absolute;left:5429;top:14112;width:2441;height:564">
              <v:textbox>
                <w:txbxContent>
                  <w:p w:rsidR="00B92B55" w:rsidRDefault="005D2982" w:rsidP="00366743">
                    <w:pPr>
                      <w:jc w:val="center"/>
                    </w:pPr>
                    <w:r>
                      <w:t>国资处报教育部备案</w:t>
                    </w:r>
                  </w:p>
                </w:txbxContent>
              </v:textbox>
            </v:shape>
            <v:shape id="_x0000_s1211" type="#_x0000_t109" style="position:absolute;left:4572;top:13334;width:4148;height:460">
              <v:textbox>
                <w:txbxContent>
                  <w:p w:rsidR="005D2982" w:rsidRDefault="003A113F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国资处、回收单位将</w:t>
                    </w:r>
                    <w:r w:rsidR="005D2982" w:rsidRPr="005D2982">
                      <w:rPr>
                        <w:rFonts w:hint="eastAsia"/>
                      </w:rPr>
                      <w:t>残值收入交财务</w:t>
                    </w:r>
                    <w:r w:rsidR="005D2982">
                      <w:rPr>
                        <w:rFonts w:hint="eastAsia"/>
                      </w:rPr>
                      <w:t>处</w:t>
                    </w:r>
                  </w:p>
                </w:txbxContent>
              </v:textbox>
            </v:shape>
            <v:shape id="_x0000_s1212" type="#_x0000_t32" style="position:absolute;left:6646;top:13794;width:4;height:318" o:connectortype="straight">
              <v:stroke endarrow="block"/>
            </v:shape>
            <v:shape id="_x0000_s1220" type="#_x0000_t32" style="position:absolute;left:3182;top:4591;width:8;height:403;flip:x" o:connectortype="straight">
              <v:stroke endarrow="block"/>
            </v:shape>
            <v:shape id="_x0000_s1222" type="#_x0000_t32" style="position:absolute;left:5940;top:4591;width:1;height:403" o:connectortype="straight">
              <v:stroke endarrow="block"/>
            </v:shape>
            <v:shape id="_x0000_s1216" type="#_x0000_t109" style="position:absolute;left:3261;top:7451;width:2549;height:805">
              <v:textbox>
                <w:txbxContent>
                  <w:p w:rsidR="00E93EF8" w:rsidRDefault="00F92E8E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资产管理员</w:t>
                    </w:r>
                    <w:r w:rsidR="00E93EF8">
                      <w:rPr>
                        <w:rFonts w:hint="eastAsia"/>
                      </w:rPr>
                      <w:t>审核、</w:t>
                    </w:r>
                  </w:p>
                  <w:p w:rsidR="00F92E8E" w:rsidRDefault="00F92E8E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部门领导审核</w:t>
                    </w:r>
                  </w:p>
                </w:txbxContent>
              </v:textbox>
            </v:shape>
            <v:shape id="_x0000_s1219" type="#_x0000_t109" style="position:absolute;left:3600;top:8542;width:1863;height:515">
              <v:textbox>
                <w:txbxContent>
                  <w:p w:rsidR="00F92E8E" w:rsidRDefault="00F92E8E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国资处审核</w:t>
                    </w:r>
                  </w:p>
                </w:txbxContent>
              </v:textbox>
            </v:shape>
            <v:shape id="_x0000_s1230" type="#_x0000_t109" style="position:absolute;left:7760;top:8582;width:1863;height:515">
              <v:textbox>
                <w:txbxContent>
                  <w:p w:rsidR="00366743" w:rsidRDefault="00366743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国资处审核</w:t>
                    </w:r>
                  </w:p>
                </w:txbxContent>
              </v:textbox>
            </v:shape>
            <v:shape id="_x0000_s1231" type="#_x0000_t109" style="position:absolute;left:7410;top:7501;width:2549;height:805">
              <v:textbox>
                <w:txbxContent>
                  <w:p w:rsidR="00366743" w:rsidRDefault="00366743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资产管理员审核、</w:t>
                    </w:r>
                  </w:p>
                  <w:p w:rsidR="00366743" w:rsidRDefault="00366743" w:rsidP="00366743">
                    <w:pPr>
                      <w:jc w:val="center"/>
                    </w:pPr>
                    <w:r>
                      <w:rPr>
                        <w:rFonts w:hint="eastAsia"/>
                      </w:rPr>
                      <w:t>部门领导审核</w:t>
                    </w:r>
                  </w:p>
                </w:txbxContent>
              </v:textbox>
            </v:shape>
            <v:shape id="_x0000_s1232" type="#_x0000_t32" style="position:absolute;left:8685;top:4591;width:1;height:403" o:connectortype="straight">
              <v:stroke endarrow="block"/>
            </v:shape>
            <v:shape id="_x0000_s1233" type="#_x0000_t32" style="position:absolute;left:4536;top:6967;width:1;height:484" o:connectortype="straight">
              <v:stroke endarrow="block"/>
            </v:shape>
            <v:shape id="_x0000_s1234" type="#_x0000_t32" style="position:absolute;left:8685;top:6967;width:4;height:534;flip:x" o:connectortype="straight">
              <v:stroke endarrow="block"/>
            </v:shape>
            <v:shape id="_x0000_s1235" type="#_x0000_t32" style="position:absolute;left:4532;top:8256;width:4;height:286;flip:x" o:connectortype="straight">
              <v:stroke endarrow="block"/>
            </v:shape>
            <v:shape id="_x0000_s1236" type="#_x0000_t32" style="position:absolute;left:8685;top:8306;width:7;height:276" o:connectortype="straight">
              <v:stroke endarrow="block"/>
            </v:shape>
            <v:shape id="_x0000_s1237" type="#_x0000_t32" style="position:absolute;left:4532;top:9057;width:3;height:354" o:connectortype="straight">
              <v:stroke endarrow="block"/>
            </v:shape>
            <v:shape id="_x0000_s1238" type="#_x0000_t32" style="position:absolute;left:8690;top:9097;width:2;height:314;flip:x" o:connectortype="straight">
              <v:stroke endarrow="block"/>
            </v:shape>
            <w10:wrap type="none"/>
            <w10:anchorlock/>
          </v:group>
        </w:pict>
      </w:r>
      <w:bookmarkStart w:id="0" w:name="_GoBack"/>
      <w:bookmarkEnd w:id="0"/>
    </w:p>
    <w:sectPr w:rsidR="00E042B1" w:rsidSect="002D7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6EF" w:rsidRDefault="006F46EF" w:rsidP="001A5A35">
      <w:r>
        <w:separator/>
      </w:r>
    </w:p>
  </w:endnote>
  <w:endnote w:type="continuationSeparator" w:id="0">
    <w:p w:rsidR="006F46EF" w:rsidRDefault="006F46EF" w:rsidP="001A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6EF" w:rsidRDefault="006F46EF" w:rsidP="001A5A35">
      <w:r>
        <w:separator/>
      </w:r>
    </w:p>
  </w:footnote>
  <w:footnote w:type="continuationSeparator" w:id="0">
    <w:p w:rsidR="006F46EF" w:rsidRDefault="006F46EF" w:rsidP="001A5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3C9"/>
    <w:rsid w:val="0000221A"/>
    <w:rsid w:val="0001256F"/>
    <w:rsid w:val="000133A4"/>
    <w:rsid w:val="00044812"/>
    <w:rsid w:val="00065FF6"/>
    <w:rsid w:val="000971AD"/>
    <w:rsid w:val="000D09B6"/>
    <w:rsid w:val="000E5563"/>
    <w:rsid w:val="001465D5"/>
    <w:rsid w:val="00154D4B"/>
    <w:rsid w:val="00161728"/>
    <w:rsid w:val="00162729"/>
    <w:rsid w:val="00172ADF"/>
    <w:rsid w:val="00184614"/>
    <w:rsid w:val="00197261"/>
    <w:rsid w:val="001A5A35"/>
    <w:rsid w:val="001B198A"/>
    <w:rsid w:val="0020406C"/>
    <w:rsid w:val="00240FAD"/>
    <w:rsid w:val="00247447"/>
    <w:rsid w:val="002716EE"/>
    <w:rsid w:val="00282B6D"/>
    <w:rsid w:val="0028526D"/>
    <w:rsid w:val="00297122"/>
    <w:rsid w:val="002D739C"/>
    <w:rsid w:val="00345FE7"/>
    <w:rsid w:val="003506BD"/>
    <w:rsid w:val="003513C8"/>
    <w:rsid w:val="00357179"/>
    <w:rsid w:val="00362B6A"/>
    <w:rsid w:val="00366743"/>
    <w:rsid w:val="00395AD4"/>
    <w:rsid w:val="003A113F"/>
    <w:rsid w:val="003B4A3F"/>
    <w:rsid w:val="003E2629"/>
    <w:rsid w:val="003E6BDB"/>
    <w:rsid w:val="003F6ED2"/>
    <w:rsid w:val="0042760B"/>
    <w:rsid w:val="004B14C2"/>
    <w:rsid w:val="004E18E4"/>
    <w:rsid w:val="004F619A"/>
    <w:rsid w:val="00531E71"/>
    <w:rsid w:val="005A2435"/>
    <w:rsid w:val="005D2982"/>
    <w:rsid w:val="005F60C8"/>
    <w:rsid w:val="005F77C0"/>
    <w:rsid w:val="0060256B"/>
    <w:rsid w:val="0060595F"/>
    <w:rsid w:val="00607EF0"/>
    <w:rsid w:val="006130E3"/>
    <w:rsid w:val="00661942"/>
    <w:rsid w:val="006F46EF"/>
    <w:rsid w:val="006F7507"/>
    <w:rsid w:val="00703C1F"/>
    <w:rsid w:val="007239C7"/>
    <w:rsid w:val="00723F91"/>
    <w:rsid w:val="00746EAC"/>
    <w:rsid w:val="00793B4F"/>
    <w:rsid w:val="007F546C"/>
    <w:rsid w:val="00825A20"/>
    <w:rsid w:val="008706B2"/>
    <w:rsid w:val="008763BE"/>
    <w:rsid w:val="008A65C8"/>
    <w:rsid w:val="008B6E7A"/>
    <w:rsid w:val="008C0517"/>
    <w:rsid w:val="008C2CF9"/>
    <w:rsid w:val="008E19D6"/>
    <w:rsid w:val="008E2AA2"/>
    <w:rsid w:val="008E2C5E"/>
    <w:rsid w:val="008F1590"/>
    <w:rsid w:val="008F7993"/>
    <w:rsid w:val="00914859"/>
    <w:rsid w:val="00932960"/>
    <w:rsid w:val="00943CFC"/>
    <w:rsid w:val="00972D59"/>
    <w:rsid w:val="0099089C"/>
    <w:rsid w:val="009C40A1"/>
    <w:rsid w:val="009D68F8"/>
    <w:rsid w:val="009D7086"/>
    <w:rsid w:val="009F3368"/>
    <w:rsid w:val="00A337AE"/>
    <w:rsid w:val="00A35B54"/>
    <w:rsid w:val="00A56A3B"/>
    <w:rsid w:val="00A66FAD"/>
    <w:rsid w:val="00AB0287"/>
    <w:rsid w:val="00AB336A"/>
    <w:rsid w:val="00AD0A3C"/>
    <w:rsid w:val="00B00CCD"/>
    <w:rsid w:val="00B11F5E"/>
    <w:rsid w:val="00B21502"/>
    <w:rsid w:val="00B834C9"/>
    <w:rsid w:val="00B90AD1"/>
    <w:rsid w:val="00B92B55"/>
    <w:rsid w:val="00BC7046"/>
    <w:rsid w:val="00BD6277"/>
    <w:rsid w:val="00BF6341"/>
    <w:rsid w:val="00C02EE2"/>
    <w:rsid w:val="00C139A8"/>
    <w:rsid w:val="00C23EFA"/>
    <w:rsid w:val="00C32CB8"/>
    <w:rsid w:val="00C50DD4"/>
    <w:rsid w:val="00C73946"/>
    <w:rsid w:val="00C758E8"/>
    <w:rsid w:val="00C75968"/>
    <w:rsid w:val="00C94497"/>
    <w:rsid w:val="00CA35FB"/>
    <w:rsid w:val="00CF2537"/>
    <w:rsid w:val="00D20995"/>
    <w:rsid w:val="00D21D2E"/>
    <w:rsid w:val="00D5336B"/>
    <w:rsid w:val="00D8062F"/>
    <w:rsid w:val="00DA20C6"/>
    <w:rsid w:val="00DD6962"/>
    <w:rsid w:val="00E042B1"/>
    <w:rsid w:val="00E677D5"/>
    <w:rsid w:val="00E93EF8"/>
    <w:rsid w:val="00EA2615"/>
    <w:rsid w:val="00EB591C"/>
    <w:rsid w:val="00ED0E89"/>
    <w:rsid w:val="00ED199A"/>
    <w:rsid w:val="00EE7590"/>
    <w:rsid w:val="00EF0A8D"/>
    <w:rsid w:val="00EF117D"/>
    <w:rsid w:val="00EF204A"/>
    <w:rsid w:val="00EF2518"/>
    <w:rsid w:val="00F24086"/>
    <w:rsid w:val="00F3155C"/>
    <w:rsid w:val="00F36726"/>
    <w:rsid w:val="00F773C9"/>
    <w:rsid w:val="00F92E8E"/>
    <w:rsid w:val="00FB0D8A"/>
    <w:rsid w:val="00FC221D"/>
    <w:rsid w:val="00FD5AA6"/>
    <w:rsid w:val="00FF31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66">
          <o:proxy start="" idref="#_x0000_s1154" connectloc="2"/>
          <o:proxy end="" idref="#_x0000_s1211" connectloc="0"/>
        </o:r>
        <o:r id="V:Rule2" type="connector" idref="#_x0000_s1149">
          <o:proxy start="" idref="#_x0000_s1144" connectloc="3"/>
          <o:proxy end="" idref="#_x0000_s1143" connectloc="1"/>
        </o:r>
        <o:r id="V:Rule3" type="connector" idref="#_x0000_s1083">
          <o:proxy start="" idref="#_x0000_s1076" connectloc="2"/>
          <o:proxy end="" idref="#_x0000_s1078" connectloc="0"/>
        </o:r>
        <o:r id="V:Rule4" type="connector" idref="#_x0000_s1197">
          <o:proxy start="" idref="#_x0000_s1192" connectloc="1"/>
          <o:proxy end="" idref="#_x0000_s1169" connectloc="0"/>
        </o:r>
        <o:r id="V:Rule5" type="connector" idref="#_x0000_s1233">
          <o:proxy start="" idref="#_x0000_s1187" connectloc="2"/>
          <o:proxy end="" idref="#_x0000_s1216" connectloc="0"/>
        </o:r>
        <o:r id="V:Rule6" type="connector" idref="#_x0000_s1189">
          <o:proxy start="" idref="#_x0000_s1141" connectloc="2"/>
          <o:proxy end="" idref="#_x0000_s1187" connectloc="0"/>
        </o:r>
        <o:r id="V:Rule7" type="connector" idref="#_x0000_s1236">
          <o:proxy start="" idref="#_x0000_s1231" connectloc="2"/>
          <o:proxy end="" idref="#_x0000_s1230" connectloc="0"/>
        </o:r>
        <o:r id="V:Rule8" type="connector" idref="#_x0000_s1193">
          <o:proxy start="" idref="#_x0000_s1142" connectloc="2"/>
          <o:proxy end="" idref="#_x0000_s1192" connectloc="0"/>
        </o:r>
        <o:r id="V:Rule9" type="connector" idref="#_x0000_s1155">
          <o:proxy start="" idref="#_x0000_s1143" connectloc="2"/>
          <o:proxy end="" idref="#_x0000_s1183" connectloc="0"/>
        </o:r>
        <o:r id="V:Rule10" type="connector" idref="#_x0000_s1207">
          <o:proxy start="" idref="#_x0000_s1203" connectloc="2"/>
          <o:proxy end="" idref="#_x0000_s1144" connectloc="0"/>
        </o:r>
        <o:r id="V:Rule11" type="connector" idref="#_x0000_s1185">
          <o:proxy start="" idref="#_x0000_s1183" connectloc="2"/>
          <o:proxy end="" idref="#_x0000_s1154" connectloc="0"/>
        </o:r>
        <o:r id="V:Rule12" type="connector" idref="#_x0000_s1088">
          <o:proxy start="" idref="#_x0000_s1078" connectloc="3"/>
          <o:proxy end="" idref="#_x0000_s1079" connectloc="0"/>
        </o:r>
        <o:r id="V:Rule13" type="connector" idref="#_x0000_s1156">
          <o:proxy start="" idref="#_x0000_s1144" connectloc="2"/>
          <o:proxy end="" idref="#_x0000_s1182" connectloc="0"/>
        </o:r>
        <o:r id="V:Rule14" type="connector" idref="#_x0000_s1212">
          <o:proxy start="" idref="#_x0000_s1211" connectloc="2"/>
          <o:proxy end="" idref="#_x0000_s1210" connectloc="0"/>
        </o:r>
        <o:r id="V:Rule15" type="connector" idref="#_x0000_s1188">
          <o:proxy start="" idref="#_x0000_s1140" connectloc="2"/>
          <o:proxy end="" idref="#_x0000_s1187" connectloc="0"/>
        </o:r>
        <o:r id="V:Rule16" type="connector" idref="#_x0000_s1222">
          <o:proxy start="" idref="#_x0000_s1080" connectloc="2"/>
          <o:proxy end="" idref="#_x0000_s1141" connectloc="0"/>
        </o:r>
        <o:r id="V:Rule17" type="connector" idref="#_x0000_s1209">
          <o:proxy start="" idref="#_x0000_s1205" connectloc="2"/>
          <o:proxy end="" idref="#_x0000_s1143" connectloc="0"/>
        </o:r>
        <o:r id="V:Rule18" type="connector" idref="#_x0000_s1184">
          <o:proxy start="" idref="#_x0000_s1182" connectloc="2"/>
          <o:proxy end="" idref="#_x0000_s1153" connectloc="0"/>
        </o:r>
        <o:r id="V:Rule19" type="connector" idref="#_x0000_s1235">
          <o:proxy start="" idref="#_x0000_s1216" connectloc="2"/>
          <o:proxy end="" idref="#_x0000_s1219" connectloc="0"/>
        </o:r>
        <o:r id="V:Rule20" type="connector" idref="#_x0000_s1084">
          <o:proxy start="" idref="#_x0000_s1078" connectloc="2"/>
          <o:proxy end="" idref="#_x0000_s1080" connectloc="0"/>
        </o:r>
        <o:r id="V:Rule21" type="connector" idref="#_x0000_s1238">
          <o:proxy start="" idref="#_x0000_s1230" connectloc="2"/>
          <o:proxy end="" idref="#_x0000_s1205" connectloc="0"/>
        </o:r>
        <o:r id="V:Rule22" type="connector" idref="#_x0000_s1220">
          <o:proxy start="" idref="#_x0000_s1077" connectloc="2"/>
          <o:proxy end="" idref="#_x0000_s1140" connectloc="0"/>
        </o:r>
        <o:r id="V:Rule23" type="connector" idref="#_x0000_s1165">
          <o:proxy start="" idref="#_x0000_s1153" connectloc="2"/>
          <o:proxy end="" idref="#_x0000_s1211" connectloc="0"/>
        </o:r>
        <o:r id="V:Rule24" type="connector" idref="#_x0000_s1234">
          <o:proxy start="" idref="#_x0000_s1192" connectloc="2"/>
          <o:proxy end="" idref="#_x0000_s1231" connectloc="0"/>
        </o:r>
        <o:r id="V:Rule25" type="connector" idref="#_x0000_s1196">
          <o:proxy start="" idref="#_x0000_s1187" connectloc="3"/>
          <o:proxy end="" idref="#_x0000_s1169" connectloc="0"/>
        </o:r>
        <o:r id="V:Rule26" type="connector" idref="#_x0000_s1086">
          <o:proxy start="" idref="#_x0000_s1078" connectloc="1"/>
          <o:proxy end="" idref="#_x0000_s1077" connectloc="0"/>
        </o:r>
        <o:r id="V:Rule27" type="connector" idref="#_x0000_s1237">
          <o:proxy start="" idref="#_x0000_s1219" connectloc="2"/>
          <o:proxy end="" idref="#_x0000_s1203" connectloc="0"/>
        </o:r>
        <o:r id="V:Rule28" type="connector" idref="#_x0000_s1232">
          <o:proxy start="" idref="#_x0000_s1079" connectloc="2"/>
          <o:proxy end="" idref="#_x0000_s1142" connectloc="0"/>
        </o:r>
      </o:rules>
    </o:shapelayout>
  </w:shapeDefaults>
  <w:decimalSymbol w:val="."/>
  <w:listSeparator w:val=","/>
  <w14:docId w14:val="46B83FAD"/>
  <w15:docId w15:val="{D63ECCA0-482A-4694-AC1E-4A2FF188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5A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48E99-6E4A-4454-BFF9-32B93FE2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</Words>
  <Characters>31</Characters>
  <Application>Microsoft Office Word</Application>
  <DocSecurity>0</DocSecurity>
  <Lines>1</Lines>
  <Paragraphs>1</Paragraphs>
  <ScaleCrop>false</ScaleCrop>
  <Company>.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gzc</dc:creator>
  <cp:keywords/>
  <dc:description/>
  <cp:lastModifiedBy>HUANG Shan</cp:lastModifiedBy>
  <cp:revision>327</cp:revision>
  <cp:lastPrinted>2017-04-17T01:39:00Z</cp:lastPrinted>
  <dcterms:created xsi:type="dcterms:W3CDTF">2015-07-06T09:43:00Z</dcterms:created>
  <dcterms:modified xsi:type="dcterms:W3CDTF">2021-10-19T08:06:00Z</dcterms:modified>
</cp:coreProperties>
</file>